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866CE4" w14:textId="3BCF0067" w:rsidR="00190794" w:rsidRDefault="00190794" w:rsidP="00190794">
      <w:pPr>
        <w:pStyle w:val="Title"/>
      </w:pPr>
      <w:r>
        <w:t xml:space="preserve">Supplementary Information for </w:t>
      </w:r>
      <w:r w:rsidRPr="00190794">
        <w:t>Sing</w:t>
      </w:r>
      <w:r w:rsidR="00FA63B1">
        <w:t>l</w:t>
      </w:r>
      <w:r w:rsidRPr="00190794">
        <w:t>e-Cell Manifold Preserving Feature Selection (SCMER)</w:t>
      </w:r>
    </w:p>
    <w:p w14:paraId="0F4F54F3" w14:textId="32AE06B6" w:rsidR="00AA228E" w:rsidRPr="00AA228E" w:rsidRDefault="00AA228E" w:rsidP="00AA228E">
      <w:r>
        <w:t>Liang et al.</w:t>
      </w:r>
    </w:p>
    <w:p w14:paraId="7640CF81" w14:textId="1D8EA2E9" w:rsidR="00C053FB" w:rsidRDefault="001C4CFA" w:rsidP="00F91193">
      <w:pPr>
        <w:pStyle w:val="Heading1"/>
      </w:pPr>
      <w:r>
        <w:t>Supplementary Note</w:t>
      </w:r>
      <w:r w:rsidR="00F91193">
        <w:t>s</w:t>
      </w:r>
    </w:p>
    <w:p w14:paraId="58032330" w14:textId="546962A1" w:rsidR="001C4CFA" w:rsidRDefault="00983A8B" w:rsidP="00F91193">
      <w:pPr>
        <w:pStyle w:val="Heading2"/>
      </w:pPr>
      <w:r>
        <w:t xml:space="preserve">Supplementary Note 1: </w:t>
      </w:r>
      <w:r w:rsidR="001C4CFA">
        <w:t>Illustrative Simulated Data</w:t>
      </w:r>
    </w:p>
    <w:p w14:paraId="69F9AFC0" w14:textId="4C813518" w:rsidR="00FF72FB" w:rsidRDefault="008207E2" w:rsidP="00FF72FB">
      <w:r>
        <w:t xml:space="preserve">For </w:t>
      </w:r>
      <w:r w:rsidRPr="008207E2">
        <w:rPr>
          <w:b/>
        </w:rPr>
        <w:t>Fig. 1c</w:t>
      </w:r>
      <w:r>
        <w:t>, w</w:t>
      </w:r>
      <w:r w:rsidR="00FF72FB">
        <w:t xml:space="preserve">e simulated </w:t>
      </w:r>
      <w:r w:rsidR="003A5FD3">
        <w:t xml:space="preserve">2000 </w:t>
      </w:r>
      <w:r w:rsidR="00FF72FB">
        <w:t xml:space="preserve">cells for each branch. Each cell is randomly assigned a pseudo-time in </w:t>
      </w:r>
      <m:oMath>
        <m:r>
          <w:rPr>
            <w:rFonts w:ascii="Cambria Math" w:hAnsi="Cambria Math"/>
          </w:rPr>
          <m:t>[0, 2]</m:t>
        </m:r>
      </m:oMath>
      <w:r w:rsidR="00FF72FB">
        <w:t xml:space="preserve">, </w:t>
      </w:r>
      <w:r w:rsidR="0056183F">
        <w:t xml:space="preserve">which is </w:t>
      </w:r>
      <w:r w:rsidR="00FF72FB">
        <w:t xml:space="preserve">discretized into progenitor (time under 0.5), precursor (time between 0.5 and 1.5), and mature cells (time above 1.5). </w:t>
      </w:r>
      <w:r w:rsidR="0056183F">
        <w:t xml:space="preserve">Expected values of features are determined as follows. </w:t>
      </w:r>
      <w:r w:rsidR="00FF72FB">
        <w:t xml:space="preserve">Features in </w:t>
      </w:r>
      <w:r w:rsidR="0098356E">
        <w:t>type</w:t>
      </w:r>
      <w:r w:rsidR="00FF72FB">
        <w:t xml:space="preserve"> </w:t>
      </w:r>
      <w:r w:rsidR="0098356E">
        <w:t>I</w:t>
      </w:r>
      <w:r w:rsidR="00FF72FB">
        <w:t xml:space="preserve"> and </w:t>
      </w:r>
      <w:r w:rsidR="0098356E">
        <w:t>II</w:t>
      </w:r>
      <w:r w:rsidR="00FF72FB">
        <w:t xml:space="preserve"> express on the corresponding cell type</w:t>
      </w:r>
      <w:r w:rsidR="0056183F">
        <w:t>s</w:t>
      </w:r>
      <w:r w:rsidR="00FF72FB">
        <w:t xml:space="preserve">. </w:t>
      </w:r>
      <w:r w:rsidR="0056183F">
        <w:t>Features</w:t>
      </w:r>
      <w:r w:rsidR="007A6B06">
        <w:t xml:space="preserve"> </w:t>
      </w:r>
      <w:r w:rsidR="00FF72FB">
        <w:t xml:space="preserve">in </w:t>
      </w:r>
      <w:r w:rsidR="0098356E">
        <w:t>type</w:t>
      </w:r>
      <w:r w:rsidR="00FF72FB">
        <w:t xml:space="preserve"> </w:t>
      </w:r>
      <w:r w:rsidR="0098356E">
        <w:t>III</w:t>
      </w:r>
      <w:r w:rsidR="00FF72FB">
        <w:t xml:space="preserve"> </w:t>
      </w:r>
      <w:r w:rsidR="0098356E">
        <w:t>are</w:t>
      </w:r>
      <w:r w:rsidR="00FF72FB">
        <w:t xml:space="preserve"> monotonic</w:t>
      </w:r>
      <w:r w:rsidR="00B409FF">
        <w:t>ally</w:t>
      </w:r>
      <w:r w:rsidR="00FF72FB">
        <w:t xml:space="preserve"> correlated with time, on their corresponding branches. Features in group </w:t>
      </w:r>
      <w:r w:rsidR="0098356E">
        <w:t>IV</w:t>
      </w:r>
      <w:r w:rsidR="00FF72FB">
        <w:t xml:space="preserve"> ha</w:t>
      </w:r>
      <w:r w:rsidR="0098356E">
        <w:t>ve</w:t>
      </w:r>
      <w:r w:rsidR="00FF72FB">
        <w:t xml:space="preserve"> a spike at time point 1.5.</w:t>
      </w:r>
      <w:r w:rsidR="007A6B06">
        <w:t xml:space="preserve"> Expected values of noninformative features do not change.</w:t>
      </w:r>
      <w:r w:rsidR="005A232A" w:rsidRPr="005A232A">
        <w:t xml:space="preserve"> </w:t>
      </w:r>
      <w:r w:rsidR="005A232A">
        <w:t>Dispersion was added by a negative-binomial distribution (</w:t>
      </w:r>
      <m:oMath>
        <m:r>
          <w:rPr>
            <w:rFonts w:ascii="Cambria Math" w:hAnsi="Cambria Math"/>
          </w:rPr>
          <m:t>θ=10</m:t>
        </m:r>
      </m:oMath>
      <w:r w:rsidR="005A232A">
        <w:t>).</w:t>
      </w:r>
    </w:p>
    <w:p w14:paraId="2F8B074D" w14:textId="6B0D74AB" w:rsidR="001C4CFA" w:rsidRDefault="00EB55E0" w:rsidP="001C4CFA">
      <w:r>
        <w:t xml:space="preserve">SCMER recalls all </w:t>
      </w:r>
      <w:r w:rsidR="00806DFF">
        <w:t xml:space="preserve">four </w:t>
      </w:r>
      <w:r>
        <w:t>types of markers</w:t>
      </w:r>
      <w:r w:rsidR="00806DFF">
        <w:t xml:space="preserve"> in </w:t>
      </w:r>
      <w:r w:rsidR="00556A6C">
        <w:t>45</w:t>
      </w:r>
      <w:r w:rsidR="00806DFF">
        <w:t xml:space="preserve"> markers</w:t>
      </w:r>
      <w:r>
        <w:t xml:space="preserve">. </w:t>
      </w:r>
      <w:r w:rsidR="00806DFF">
        <w:t>We find</w:t>
      </w:r>
      <w:r>
        <w:t xml:space="preserve"> DE</w:t>
      </w:r>
      <w:r w:rsidR="00806DFF">
        <w:t>Gs</w:t>
      </w:r>
      <w:r>
        <w:t xml:space="preserve"> </w:t>
      </w:r>
      <w:r w:rsidR="00806DFF">
        <w:t xml:space="preserve">using Wilcoxon </w:t>
      </w:r>
      <w:r w:rsidR="003A5FD3">
        <w:t xml:space="preserve">rank-sum </w:t>
      </w:r>
      <w:r w:rsidR="00806DFF">
        <w:t>test in a one-vs-all manner using the ground-truth cell type labels. It did</w:t>
      </w:r>
      <w:r>
        <w:t xml:space="preserve"> not recall one </w:t>
      </w:r>
      <w:r w:rsidR="00913F84">
        <w:t>type</w:t>
      </w:r>
      <w:r w:rsidR="0098356E">
        <w:t>-</w:t>
      </w:r>
      <w:r w:rsidR="00913F84">
        <w:t>II, III, or IV</w:t>
      </w:r>
      <w:r>
        <w:t xml:space="preserve"> </w:t>
      </w:r>
      <w:r w:rsidR="00806DFF">
        <w:t>features</w:t>
      </w:r>
      <w:r>
        <w:t xml:space="preserve"> in the </w:t>
      </w:r>
      <w:r w:rsidR="0056183F">
        <w:t>first 100 features</w:t>
      </w:r>
      <w:r w:rsidR="00806DFF">
        <w:t>.</w:t>
      </w:r>
      <w:r>
        <w:t xml:space="preserve"> </w:t>
      </w:r>
      <w:r w:rsidR="003A5FD3">
        <w:t xml:space="preserve">The remaining </w:t>
      </w:r>
      <w:r w:rsidR="00806DFF">
        <w:t>features</w:t>
      </w:r>
      <w:r w:rsidR="00AC424D">
        <w:t xml:space="preserve"> are mixed with noninformative </w:t>
      </w:r>
      <w:r w:rsidR="00806DFF">
        <w:t>features (noise)</w:t>
      </w:r>
      <w:r w:rsidR="00AC424D">
        <w:t>.</w:t>
      </w:r>
      <w:r w:rsidR="00806DFF">
        <w:t xml:space="preserve"> For pseudo-time-based correlation analysis, features with high linear correlation with the ground-truth pseudo-time are calculated. No</w:t>
      </w:r>
      <w:r w:rsidR="00862BB7">
        <w:t xml:space="preserve"> </w:t>
      </w:r>
      <w:r w:rsidR="00913F84">
        <w:t>type</w:t>
      </w:r>
      <w:r w:rsidR="0098356E">
        <w:t>-</w:t>
      </w:r>
      <w:r w:rsidR="00913F84">
        <w:t>IV feature</w:t>
      </w:r>
      <w:r w:rsidR="00862BB7">
        <w:t xml:space="preserve"> </w:t>
      </w:r>
      <w:r w:rsidR="00B409FF">
        <w:t>is</w:t>
      </w:r>
      <w:r w:rsidR="00862BB7">
        <w:t xml:space="preserve"> recalled in the first </w:t>
      </w:r>
      <w:r w:rsidR="00556A6C">
        <w:t>120</w:t>
      </w:r>
      <w:r w:rsidR="0056183F">
        <w:t xml:space="preserve"> </w:t>
      </w:r>
      <w:r w:rsidR="00862BB7">
        <w:t>markers</w:t>
      </w:r>
      <w:r w:rsidR="00806DFF">
        <w:t xml:space="preserve">. </w:t>
      </w:r>
      <w:r w:rsidR="003A5FD3">
        <w:t xml:space="preserve">More advanced </w:t>
      </w:r>
      <w:r w:rsidR="00F34682">
        <w:t xml:space="preserve">correlation analysis, such as cubic spline fitting, may be more powerful </w:t>
      </w:r>
      <w:r w:rsidR="00B409FF">
        <w:t>in</w:t>
      </w:r>
      <w:r w:rsidR="00F34682">
        <w:t xml:space="preserve"> finding these markers. </w:t>
      </w:r>
      <w:r w:rsidR="003A5FD3">
        <w:t>The</w:t>
      </w:r>
      <w:r w:rsidR="00F34682">
        <w:t xml:space="preserve"> comparison </w:t>
      </w:r>
      <w:r w:rsidR="003A5FD3">
        <w:t xml:space="preserve">is done </w:t>
      </w:r>
      <w:r w:rsidR="00F34682">
        <w:t>on real data with Monocle.</w:t>
      </w:r>
    </w:p>
    <w:p w14:paraId="5C986965" w14:textId="3DEEF526" w:rsidR="00556A6C" w:rsidRDefault="007A6B06" w:rsidP="001C4CFA">
      <w:r>
        <w:lastRenderedPageBreak/>
        <w:t>To assess the cell type detection, w</w:t>
      </w:r>
      <w:r w:rsidR="00556A6C">
        <w:t xml:space="preserve">e run </w:t>
      </w:r>
      <m:oMath>
        <m:r>
          <w:rPr>
            <w:rFonts w:ascii="Cambria Math" w:hAnsi="Cambria Math"/>
          </w:rPr>
          <m:t>k</m:t>
        </m:r>
      </m:oMath>
      <w:r w:rsidR="00556A6C">
        <w:t>-</w:t>
      </w:r>
      <w:r w:rsidR="001059EE">
        <w:t>nearest neighbor (</w:t>
      </w:r>
      <m:oMath>
        <m:r>
          <w:rPr>
            <w:rFonts w:ascii="Cambria Math" w:hAnsi="Cambria Math"/>
          </w:rPr>
          <m:t>k</m:t>
        </m:r>
      </m:oMath>
      <w:r w:rsidR="001059EE">
        <w:t>-NN)</w:t>
      </w:r>
      <w:r w:rsidR="00556A6C">
        <w:t xml:space="preserve"> </w:t>
      </w:r>
      <w:r w:rsidR="001059EE">
        <w:t>algorithm</w:t>
      </w:r>
      <w:r w:rsidR="001059EE" w:rsidRPr="00556A6C">
        <w:t xml:space="preserve"> </w:t>
      </w:r>
      <w:r w:rsidR="00556A6C">
        <w:t xml:space="preserve">with </w:t>
      </w:r>
      <m:oMath>
        <m:r>
          <w:rPr>
            <w:rFonts w:ascii="Cambria Math" w:hAnsi="Cambria Math"/>
          </w:rPr>
          <m:t>k=3</m:t>
        </m:r>
      </m:oMath>
      <w:r w:rsidR="00556A6C">
        <w:t xml:space="preserve"> in leave-one manner to evaluate the </w:t>
      </w:r>
      <w:r w:rsidR="00DD2009">
        <w:t xml:space="preserve">precision </w:t>
      </w:r>
      <w:r w:rsidR="00B409FF">
        <w:t xml:space="preserve">and recall </w:t>
      </w:r>
      <w:r w:rsidR="00556A6C">
        <w:t xml:space="preserve">of </w:t>
      </w:r>
      <w:r w:rsidR="00DD2009">
        <w:t>detecting each cell type using the</w:t>
      </w:r>
      <w:r w:rsidR="00556A6C">
        <w:t xml:space="preserve"> selected markers. Specifically, </w:t>
      </w:r>
      <w:r w:rsidR="00DD2009">
        <w:t xml:space="preserve">for </w:t>
      </w:r>
      <w:r>
        <w:t xml:space="preserve">each cell, a classifier is trained on all cells except for itself. For each set of labels (major cell types / RCPs), each cell is either identified as one type, or rejected if no type wins </w:t>
      </w:r>
      <w:r w:rsidR="00B409FF">
        <w:t xml:space="preserve">the </w:t>
      </w:r>
      <w:r>
        <w:t xml:space="preserve">majority. </w:t>
      </w:r>
      <w:proofErr w:type="gramStart"/>
      <w:r>
        <w:t>With regard to</w:t>
      </w:r>
      <w:proofErr w:type="gramEnd"/>
      <w:r>
        <w:t xml:space="preserve"> a specific cell type, i</w:t>
      </w:r>
      <w:r w:rsidR="00556A6C">
        <w:t xml:space="preserve">f </w:t>
      </w:r>
      <w:r w:rsidR="00DD2009">
        <w:t xml:space="preserve">the cells detected by the </w:t>
      </w:r>
      <m:oMath>
        <m:r>
          <w:rPr>
            <w:rFonts w:ascii="Cambria Math" w:hAnsi="Cambria Math"/>
          </w:rPr>
          <m:t>k</m:t>
        </m:r>
      </m:oMath>
      <w:r w:rsidR="00DD2009">
        <w:t>-NN classifier is from the cell type</w:t>
      </w:r>
      <w:r w:rsidR="00556A6C">
        <w:t>, it is a true positive (TP). Otherwise, it is a false positive (FP). The precision</w:t>
      </w:r>
      <w:r w:rsidR="00AE59F7">
        <w:t xml:space="preserve"> and recall</w:t>
      </w:r>
      <w:r w:rsidR="00556A6C">
        <w:t xml:space="preserve"> </w:t>
      </w:r>
      <w:r w:rsidR="001059EE">
        <w:t>are</w:t>
      </w:r>
      <w:r w:rsidR="00556A6C">
        <w:t xml:space="preserve"> defined as </w:t>
      </w:r>
      <m:oMath>
        <m:f>
          <m:fPr>
            <m:ctrlPr>
              <w:rPr>
                <w:rFonts w:ascii="Cambria Math" w:hAnsi="Cambria Math"/>
                <w:i/>
              </w:rPr>
            </m:ctrlPr>
          </m:fPr>
          <m:num>
            <m:r>
              <w:rPr>
                <w:rFonts w:ascii="Cambria Math" w:hAnsi="Cambria Math"/>
              </w:rPr>
              <m:t>TP</m:t>
            </m:r>
          </m:num>
          <m:den>
            <m:r>
              <w:rPr>
                <w:rFonts w:ascii="Cambria Math" w:hAnsi="Cambria Math"/>
              </w:rPr>
              <m:t>TP+FP</m:t>
            </m:r>
          </m:den>
        </m:f>
      </m:oMath>
      <w:r w:rsidR="00AE59F7">
        <w:t xml:space="preserve"> and </w:t>
      </w:r>
      <m:oMath>
        <m:f>
          <m:fPr>
            <m:ctrlPr>
              <w:rPr>
                <w:rFonts w:ascii="Cambria Math" w:hAnsi="Cambria Math"/>
                <w:i/>
              </w:rPr>
            </m:ctrlPr>
          </m:fPr>
          <m:num>
            <m:r>
              <w:rPr>
                <w:rFonts w:ascii="Cambria Math" w:hAnsi="Cambria Math"/>
              </w:rPr>
              <m:t>TP</m:t>
            </m:r>
          </m:num>
          <m:den>
            <m:r>
              <w:rPr>
                <w:rFonts w:ascii="Cambria Math" w:hAnsi="Cambria Math"/>
              </w:rPr>
              <m:t>TP+FN</m:t>
            </m:r>
          </m:den>
        </m:f>
      </m:oMath>
      <w:r w:rsidR="001059EE">
        <w:t>, respectively</w:t>
      </w:r>
      <w:r w:rsidR="00556A6C">
        <w:t>.</w:t>
      </w:r>
      <w:r w:rsidR="001059EE">
        <w:t xml:space="preserve"> </w:t>
      </w:r>
    </w:p>
    <w:p w14:paraId="24A4DDAA" w14:textId="1E7CC859" w:rsidR="00F44E42" w:rsidRDefault="00983A8B" w:rsidP="00F44E42">
      <w:pPr>
        <w:pStyle w:val="Heading2"/>
      </w:pPr>
      <w:r>
        <w:t xml:space="preserve">Supplementary Note 2: </w:t>
      </w:r>
      <w:r w:rsidR="006D0A7E">
        <w:t xml:space="preserve">Weights of Features Assigned by </w:t>
      </w:r>
      <w:r w:rsidR="007F349F">
        <w:t>SCMER</w:t>
      </w:r>
    </w:p>
    <w:p w14:paraId="07305471" w14:textId="386D403C" w:rsidR="00F44E42" w:rsidRDefault="009A3272" w:rsidP="00F44E42">
      <w:r>
        <w:t xml:space="preserve">Although SCMER generates rankings (weights) for the selected features, which represent the importance of the features to some extent, they should be interpreted with caution. </w:t>
      </w:r>
      <w:r w:rsidR="00F44E42">
        <w:t xml:space="preserve">If a smaller feature set is preferred, although it is acceptable to discard a few features with the least weights, we recommend rerunning SCMER with stronger </w:t>
      </w:r>
      <m:oMath>
        <m:r>
          <w:rPr>
            <w:rFonts w:ascii="Cambria Math" w:hAnsi="Cambria Math"/>
          </w:rPr>
          <m:t>l1</m:t>
        </m:r>
      </m:oMath>
      <w:r w:rsidR="00D854B0">
        <w:t>-</w:t>
      </w:r>
      <w:r w:rsidR="00F44E42">
        <w:t>regularization in order to obtain a feature set of a different size. The reason is as follows.</w:t>
      </w:r>
      <w:r w:rsidR="00B409FF">
        <w:t xml:space="preserve"> </w:t>
      </w:r>
      <w:r w:rsidR="00F44E42">
        <w:t xml:space="preserve">Given an optimal gene set of some size, if the desired size decreased by one, instead of only discarding one feature, it might be beneficial to also replace some of the other features in the current set. This is because of the nonlinear relations of features. For example, in a </w:t>
      </w:r>
      <w:proofErr w:type="spellStart"/>
      <w:r w:rsidR="00F44E42">
        <w:t>CyTOF</w:t>
      </w:r>
      <w:proofErr w:type="spellEnd"/>
      <w:r w:rsidR="00DA367F">
        <w:t xml:space="preserve"> PBMC</w:t>
      </w:r>
      <w:r w:rsidR="00F44E42">
        <w:t xml:space="preserve"> data</w:t>
      </w:r>
      <w:r w:rsidR="00CF0FA7">
        <w:t>set</w:t>
      </w:r>
      <w:r w:rsidR="00F44E42">
        <w:t>, if we currently have CD4 and CD8 representing CD4 T cells and CD8 T cells (together with other markers representing other cell types) and would like to further shrink the feature set by one, either discarding CD4 or CD8 may be suboptimal than discarding both and add CD3</w:t>
      </w:r>
      <w:r w:rsidR="00DA367F">
        <w:t xml:space="preserve"> for all T cells (provided that the feature set is too small to distinguish CD4 and CD8 T cells)</w:t>
      </w:r>
      <w:r w:rsidR="00F44E42">
        <w:t>. Fortunately, the cost of rerunning SCMER is minimal given the efficiency of the algorithm.</w:t>
      </w:r>
    </w:p>
    <w:p w14:paraId="06CCF3B2" w14:textId="1FE911B2" w:rsidR="00F44E42" w:rsidRDefault="009A3272" w:rsidP="00F44E42">
      <w:r>
        <w:t>Besides</w:t>
      </w:r>
      <w:r w:rsidR="008818DC">
        <w:t>, our post feature-selection UMAP is not based on the weights. In other words, all nonzero weights are considered one regardless of the specific values.</w:t>
      </w:r>
    </w:p>
    <w:p w14:paraId="22CD354A" w14:textId="2314D608" w:rsidR="001C4CFA" w:rsidRDefault="00F91193" w:rsidP="00F91193">
      <w:pPr>
        <w:pStyle w:val="Heading1"/>
      </w:pPr>
      <w:r>
        <w:lastRenderedPageBreak/>
        <w:t>Supplementary Results</w:t>
      </w:r>
    </w:p>
    <w:p w14:paraId="7163A37B" w14:textId="62F8E211" w:rsidR="006208D5" w:rsidRDefault="006208D5" w:rsidP="002B4B3A">
      <w:pPr>
        <w:pStyle w:val="Heading2"/>
      </w:pPr>
      <w:r>
        <w:t xml:space="preserve">Supplementary Result 1: SCMER Captures Intra-Cluster </w:t>
      </w:r>
      <w:r w:rsidR="002B4B3A">
        <w:t>variation in 198 cancer cell-lines and patient tumors</w:t>
      </w:r>
    </w:p>
    <w:p w14:paraId="626B7342" w14:textId="6932342F" w:rsidR="006208D5" w:rsidRDefault="006208D5" w:rsidP="006208D5">
      <w:r>
        <w:t xml:space="preserve">To further verify that SCMER is sensitive to features that drive intra-cluster heterogeneity and discriminate RCPs, we applied SCMER on a recent pan-cancer study pooling 198 cancer cell lines </w:t>
      </w:r>
      <w:bookmarkStart w:id="0" w:name="_Hlk56540430"/>
      <w:r>
        <w:t>from 22 cancer types</w:t>
      </w:r>
      <w:r>
        <w:fldChar w:fldCharType="begin"/>
      </w:r>
      <w:r w:rsidR="003F2504">
        <w:instrText xml:space="preserve"> ADDIN ZOTERO_ITEM CSL_CITATION {"citationID":"1QjYpOWd","properties":{"formattedCitation":"\\super 1\\nosupersub{}","plainCitation":"1","noteIndex":0},"citationItems":[{"id":768,"uris":["http://zotero.org/users/4312917/items/Y2F35SF3"],"uri":["http://zotero.org/users/4312917/items/Y2F35SF3"],"itemData":{"id":768,"type":"article-journal","abstract":"Cultured cell lines are the workhorse of cancer research, but the extent to which they recapitulate the heterogeneity observed among malignant cells in tumors is unclear. Here we used multiplexed single-cell RNA-seq to profile 198 cancer cell lines from 22 cancer types. We identified 12 expression programs that are recurrently heterogeneous within multiple cancer cell lines. These programs are associated with diverse biological processes, including cell cycle, senescence, stress and interferon responses, epithelial–mesenchymal transition and protein metabolism. Most of these programs recapitulate those recently identified as heterogeneous within human tumors. We prioritized specific cell lines as models of cellular heterogeneity and used them to study subpopulations of senescence-related cells, demonstrating their dynamics, regulation and unique drug sensitivities, which were predictive of clinical response. Our work describes the landscape of heterogeneity within diverse cancer cell lines and identifies recurrent patterns of heterogeneity that are shared between tumors and specific cell lines.","container-title":"Nature Genetics","DOI":"10.1038/s41588-020-00726-6","ISSN":"1546-1718","issue":"11","language":"en","note":"number: 11\npublisher: Nature Publishing Group","page":"1208-1218","source":"www.nature.com","title":"Pan-cancer single-cell RNA-seq identifies recurring programs of cellular heterogeneity","volume":"52","author":[{"family":"Kinker","given":"Gabriela S."},{"family":"Greenwald","given":"Alissa C."},{"family":"Tal","given":"Rotem"},{"family":"Orlova","given":"Zhanna"},{"family":"Cuoco","given":"Michael S."},{"family":"McFarland","given":"James M."},{"family":"Warren","given":"Allison"},{"family":"Rodman","given":"Christopher"},{"family":"Roth","given":"Jennifer A."},{"family":"Bender","given":"Samantha A."},{"family":"Kumar","given":"Bhavna"},{"family":"Rocco","given":"James W."},{"family":"Fernandes","given":"Pedro A. C. M."},{"family":"Mader","given":"Christopher C."},{"family":"Keren-Shaul","given":"Hadas"},{"family":"Plotnikov","given":"Alexander"},{"family":"Barr","given":"Haim"},{"family":"Tsherniak","given":"Aviad"},{"family":"Rozenblatt-Rosen","given":"Orit"},{"family":"Krizhanovsky","given":"Valery"},{"family":"Puram","given":"Sidharth V."},{"family":"Regev","given":"Aviv"},{"family":"Tirosh","given":"Itay"}],"issued":{"date-parts":[["2020",11]]}}}],"schema":"https://github.com/citation-style-language/schema/raw/master/csl-citation.json"} </w:instrText>
      </w:r>
      <w:r>
        <w:fldChar w:fldCharType="separate"/>
      </w:r>
      <w:r w:rsidR="003F2504" w:rsidRPr="003F2504">
        <w:rPr>
          <w:rFonts w:ascii="Calibri" w:hAnsi="Calibri" w:cs="Calibri"/>
          <w:szCs w:val="24"/>
          <w:vertAlign w:val="superscript"/>
        </w:rPr>
        <w:t>1</w:t>
      </w:r>
      <w:r>
        <w:fldChar w:fldCharType="end"/>
      </w:r>
      <w:bookmarkEnd w:id="0"/>
      <w:r>
        <w:t xml:space="preserve">. The original study identified 12 </w:t>
      </w:r>
      <w:bookmarkStart w:id="1" w:name="_Hlk56540770"/>
      <w:r w:rsidRPr="00ED6F64">
        <w:t>recurrent heterogeneous programs</w:t>
      </w:r>
      <w:bookmarkEnd w:id="1"/>
      <w:r w:rsidRPr="00ED6F64">
        <w:t xml:space="preserve"> </w:t>
      </w:r>
      <w:r>
        <w:t>(RHPs) from multiple cell lines in the categories of cell cycle, senescence, stress and interferon responses, EMT, and protein metabolism. Also provided were 21 RHPs found in</w:t>
      </w:r>
      <w:r w:rsidRPr="00ED6F64">
        <w:t xml:space="preserve"> patient tumor samples</w:t>
      </w:r>
      <w:r>
        <w:t xml:space="preserve">. Individual cell lines were well separated out in the UMAP </w:t>
      </w:r>
      <w:bookmarkStart w:id="2" w:name="_Hlk56540419"/>
      <w:r>
        <w:t>(</w:t>
      </w:r>
      <w:r w:rsidRPr="00177A51">
        <w:rPr>
          <w:b/>
          <w:bCs/>
        </w:rPr>
        <w:t xml:space="preserve">Supplementary Figure </w:t>
      </w:r>
      <w:bookmarkEnd w:id="2"/>
      <w:r w:rsidR="003B6AA8">
        <w:rPr>
          <w:b/>
          <w:bCs/>
        </w:rPr>
        <w:t>3a</w:t>
      </w:r>
      <w:r>
        <w:t>) while RHPs contributed mostly to within-cell-line (cluster) heterogeneity. Consequently, the top DE genes of each cell line (173 in total) did not include marker genes in the 12 RHPs such as the G1/S and G2/M phases of cell cycle, protein maturation, or proteasomal degradation (</w:t>
      </w:r>
      <w:r w:rsidRPr="008D55D6">
        <w:rPr>
          <w:b/>
        </w:rPr>
        <w:t xml:space="preserve">Supplementary Table </w:t>
      </w:r>
      <w:r>
        <w:rPr>
          <w:b/>
        </w:rPr>
        <w:t>3</w:t>
      </w:r>
      <w:r>
        <w:t xml:space="preserve">). In contrast, SCMER was able to recall all but stress response with the same number of features. SCMER identified novel genes such as </w:t>
      </w:r>
      <w:r w:rsidRPr="002407E5">
        <w:rPr>
          <w:i/>
        </w:rPr>
        <w:t>PRDX1</w:t>
      </w:r>
      <w:r>
        <w:t xml:space="preserve"> (proteasomal degradation marker) and </w:t>
      </w:r>
      <w:r w:rsidRPr="002407E5">
        <w:rPr>
          <w:i/>
        </w:rPr>
        <w:t>CDC20</w:t>
      </w:r>
      <w:r>
        <w:t xml:space="preserve"> (Cell cycle </w:t>
      </w:r>
      <w:r w:rsidRPr="002A3AC0">
        <w:t>G2/M</w:t>
      </w:r>
      <w:r>
        <w:t xml:space="preserve"> marker), which were clearly RHPs in most cell lines (</w:t>
      </w:r>
      <w:r w:rsidRPr="002407E5">
        <w:rPr>
          <w:b/>
        </w:rPr>
        <w:t xml:space="preserve">Supplementary Figure </w:t>
      </w:r>
      <w:r w:rsidR="003B6AA8">
        <w:rPr>
          <w:b/>
        </w:rPr>
        <w:t>3b</w:t>
      </w:r>
      <w:r>
        <w:t xml:space="preserve">) but missed by the DE analysis. SCMER also recalled genes in all the reported 21 RHPs derived from patient tumor samples, while DE analysis failed to recall </w:t>
      </w:r>
      <w:r w:rsidRPr="008506AA">
        <w:t>stress</w:t>
      </w:r>
      <w:r>
        <w:t xml:space="preserve"> response markers derived from h</w:t>
      </w:r>
      <w:r w:rsidRPr="008506AA">
        <w:t>ead and neck squamous cell carcinoma</w:t>
      </w:r>
      <w:r>
        <w:t xml:space="preserve"> (HNSCC), and markers for G1/S and G2/M cell-cycle phases. Clearly, SCMER is sensitive to intra-cluster heterogeneity even in the presence of hundreds of clusters.</w:t>
      </w:r>
    </w:p>
    <w:p w14:paraId="52C3FED2" w14:textId="64313E23" w:rsidR="006208D5" w:rsidRDefault="006208D5" w:rsidP="006208D5">
      <w:pPr>
        <w:pStyle w:val="Heading2"/>
      </w:pPr>
      <w:r>
        <w:t>Supplementary Result 2:</w:t>
      </w:r>
      <w:r w:rsidR="00DD2F8F">
        <w:t xml:space="preserve"> Assessment of SCMER on Immunocytes</w:t>
      </w:r>
    </w:p>
    <w:p w14:paraId="47530D8D" w14:textId="6A7CA948" w:rsidR="006208D5" w:rsidRDefault="006208D5" w:rsidP="006208D5">
      <w:r>
        <w:t>To perform an objective comparison</w:t>
      </w:r>
      <w:r w:rsidR="00320216">
        <w:t xml:space="preserve"> on the Ileum lamina propria immunocytes dataset</w:t>
      </w:r>
      <w:r>
        <w:t>, we curated 31 gene sets from the original publication (</w:t>
      </w:r>
      <w:r w:rsidR="00320216" w:rsidRPr="00320216">
        <w:rPr>
          <w:b/>
        </w:rPr>
        <w:t xml:space="preserve">Supplementary </w:t>
      </w:r>
      <w:r w:rsidRPr="00101248">
        <w:rPr>
          <w:b/>
          <w:bCs/>
        </w:rPr>
        <w:t xml:space="preserve">Table </w:t>
      </w:r>
      <w:r w:rsidR="00320216">
        <w:rPr>
          <w:b/>
          <w:bCs/>
        </w:rPr>
        <w:t>4</w:t>
      </w:r>
      <w:r>
        <w:t xml:space="preserve">). Except for two that had no highly </w:t>
      </w:r>
      <w:r>
        <w:lastRenderedPageBreak/>
        <w:t>variable genes (i.e., not possible to recall because SCMER was run on highly variable genes), SCMER recalled 23/29 based on 250 features. Although features were not recalled for some cell types, those cell types were still clearly present in the UMAP (</w:t>
      </w:r>
      <w:r w:rsidRPr="006C7DDA">
        <w:rPr>
          <w:b/>
          <w:bCs/>
        </w:rPr>
        <w:t>Fig</w:t>
      </w:r>
      <w:r>
        <w:rPr>
          <w:b/>
          <w:bCs/>
        </w:rPr>
        <w:t>.</w:t>
      </w:r>
      <w:r w:rsidRPr="006C7DDA">
        <w:rPr>
          <w:b/>
          <w:bCs/>
        </w:rPr>
        <w:t xml:space="preserve"> 3b</w:t>
      </w:r>
      <w:r>
        <w:t xml:space="preserve">). In fact, alternative features for those cells were found by SCMER. For example, </w:t>
      </w:r>
      <w:r w:rsidRPr="00DC27C5">
        <w:rPr>
          <w:i/>
        </w:rPr>
        <w:t>MAF</w:t>
      </w:r>
      <w:r>
        <w:t xml:space="preserve"> is a specific feature for Lymphatic </w:t>
      </w:r>
      <w:r w:rsidRPr="000C59DC">
        <w:t>cells</w:t>
      </w:r>
      <w:r>
        <w:t xml:space="preserve"> that dictates its differentiation</w:t>
      </w:r>
      <w:r>
        <w:fldChar w:fldCharType="begin"/>
      </w:r>
      <w:r w:rsidR="003F2504">
        <w:instrText xml:space="preserve"> ADDIN ZOTERO_ITEM CSL_CITATION {"citationID":"eTm1VhRo","properties":{"formattedCitation":"\\super 2\\nosupersub{}","plainCitation":"2","noteIndex":0},"citationItems":[{"id":645,"uris":["http://zotero.org/users/4312917/items/F7WIWJPH"],"uri":["http://zotero.org/users/4312917/items/F7WIWJPH"],"itemData":{"id":645,"type":"article-journal","abstract":"Kaposi sarcoma herpesvirus (KSHV) induces transcriptional reprogramming of endothelial cells. In particular, KSHV-infected lymphatic endothelial cells (LECs) show an up-regulation of genes associated with blood vessel endothelial cells (BECs). Consequently, KSHV-infected tumor cells in Kaposi sarcoma are poorly differentiated endothelial cells, expressing markers of both LECs and BECs. MicroRNAs (miRNAs) are short noncoding RNA molecules that act post-transcriptionally to negatively regulate gene expression. Here we validate expression of the KSHV-encoded miRNAs in Kaposi sarcoma lesions and demonstrate that these miRNAs contribute to viral-induced reprogramming by silencing the cellular transcription factor MAF (musculoaponeurotic fibrosarcoma oncogene homolog). MAF is expressed in LECs but not in BECs. We identify a novel role for MAF as a transcriptional repressor, preventing expression of BEC-specific genes, thereby maintaining the differentiation status of LECs. These findings demonstrate that viral miRNAs could influence the differentiation status of infected cells, and thereby contribute to KSHV-induced oncogenesis.","container-title":"Genes &amp; Development","DOI":"10.1101/gad.553410","ISSN":"0890-9369, 1549-5477","issue":"2","journalAbbreviation":"Genes Dev.","language":"en","note":"Company: Cold Spring Harbor Laboratory Press\nDistributor: Cold Spring Harbor Laboratory Press\nInstitution: Cold Spring Harbor Laboratory Press\nLabel: Cold Spring Harbor Laboratory Press\npublisher: Cold Spring Harbor Lab\nPMID: 20080955","page":"195-205","source":"genesdev.cshlp.org","title":"KSHV-encoded miRNAs target MAF to induce endothelial cell reprogramming","volume":"24","author":[{"family":"Hansen","given":"Amy"},{"family":"Henderson","given":"Stephen"},{"family":"Lagos","given":"Dimitrios"},{"family":"Nikitenko","given":"Leonid"},{"family":"Coulter","given":"Eve"},{"family":"Roberts","given":"Sinead"},{"family":"Gratrix","given":"Fiona"},{"family":"Plaisance","given":"Karlie"},{"family":"Renne","given":"Rolf"},{"family":"Bower","given":"Mark"},{"family":"Kellam","given":"Paul"},{"family":"Boshoff","given":"Chris"}],"issued":{"date-parts":[["2010",1,15]]}}}],"schema":"https://github.com/citation-style-language/schema/raw/master/csl-citation.json"} </w:instrText>
      </w:r>
      <w:r>
        <w:fldChar w:fldCharType="separate"/>
      </w:r>
      <w:r w:rsidR="003F2504" w:rsidRPr="003F2504">
        <w:rPr>
          <w:rFonts w:ascii="Calibri" w:hAnsi="Calibri" w:cs="Calibri"/>
          <w:szCs w:val="24"/>
          <w:vertAlign w:val="superscript"/>
        </w:rPr>
        <w:t>2</w:t>
      </w:r>
      <w:r>
        <w:fldChar w:fldCharType="end"/>
      </w:r>
      <w:r>
        <w:t xml:space="preserve"> (</w:t>
      </w:r>
      <w:r w:rsidRPr="006C7DDA">
        <w:rPr>
          <w:b/>
          <w:bCs/>
        </w:rPr>
        <w:t xml:space="preserve">Supplementary Figure </w:t>
      </w:r>
      <w:r w:rsidR="003B6AA8">
        <w:rPr>
          <w:b/>
          <w:bCs/>
        </w:rPr>
        <w:t>4</w:t>
      </w:r>
      <w:r w:rsidR="003B6AA8" w:rsidRPr="006C7DDA">
        <w:rPr>
          <w:b/>
          <w:bCs/>
        </w:rPr>
        <w:t>e</w:t>
      </w:r>
      <w:r>
        <w:t xml:space="preserve">). Other examples included </w:t>
      </w:r>
      <w:r w:rsidRPr="00DC27C5">
        <w:rPr>
          <w:i/>
        </w:rPr>
        <w:t>FCER1</w:t>
      </w:r>
      <w:r>
        <w:rPr>
          <w:i/>
        </w:rPr>
        <w:t>G</w:t>
      </w:r>
      <w:r>
        <w:t xml:space="preserve"> for DC2</w:t>
      </w:r>
      <w:r>
        <w:fldChar w:fldCharType="begin"/>
      </w:r>
      <w:r w:rsidR="003F2504">
        <w:instrText xml:space="preserve"> ADDIN ZOTERO_ITEM CSL_CITATION {"citationID":"0qSFClB6","properties":{"formattedCitation":"\\super 3\\nosupersub{}","plainCitation":"3","noteIndex":0},"citationItems":[{"id":650,"uris":["http://zotero.org/users/4312917/items/YHH5ZNZG"],"uri":["http://zotero.org/users/4312917/items/YHH5ZNZG"],"itemData":{"id":650,"type":"article-journal","abstract":"Dendritic cells (DC) are a class of bone-marrow-derived cells arising from lympho-myeloid haematopoiesis that form an essential interface between the innate sensing of pathogens and the activation of adaptive immunity. This task requires a wide range of mechanisms and responses, which are divided between three major DC subsets: plasmacytoid DC (pDC), myeloid/conventional DC1 (cDC1) and myeloid/conventional DC2 (cDC2). Each DC subset develops under the control of a specific repertoire of transcription factors involving differential levels of IRF8 and IRF4 in collaboration with PU.1, ID2, E2-2, ZEB2, KLF4, IKZF1 and BATF3. DC haematopoiesis is conserved between mammalian species and is distinct from monocyte development. Although monocytes can differentiate into DC, especially during inflammation, most quiescent tissues contain significant resident populations of DC lineage cells. An extended range of surface markers facilitates the identification of specific DC subsets although it remains difficult to dissociate cDC2 from monocyte-derived DC in some settings. Recent studies based on an increasing level of resolution of phenotype and gene expression have identified pre-DC in human blood and heterogeneity among cDC2. These advances facilitate the integration of mouse and human immunology, support efforts to unravel human DC function in vivo and continue to present new translational opportunities to medicine.","container-title":"Immunology","DOI":"10.1111/imm.12888","ISSN":"1365-2567","issue":"1","language":"en","note":"_eprint: https://onlinelibrary.wiley.com/doi/pdf/10.1111/imm.12888","page":"3-20","source":"Wiley Online Library","title":"Human dendritic cell subsets: an update","title-short":"Human dendritic cell subsets","volume":"154","author":[{"family":"Collin","given":"Matthew"},{"family":"Bigley","given":"Venetia"}],"issued":{"date-parts":[["2018"]]}}}],"schema":"https://github.com/citation-style-language/schema/raw/master/csl-citation.json"} </w:instrText>
      </w:r>
      <w:r>
        <w:fldChar w:fldCharType="separate"/>
      </w:r>
      <w:r w:rsidR="003F2504" w:rsidRPr="003F2504">
        <w:rPr>
          <w:rFonts w:ascii="Calibri" w:hAnsi="Calibri" w:cs="Calibri"/>
          <w:szCs w:val="24"/>
          <w:vertAlign w:val="superscript"/>
        </w:rPr>
        <w:t>3</w:t>
      </w:r>
      <w:r>
        <w:fldChar w:fldCharType="end"/>
      </w:r>
      <w:r>
        <w:t xml:space="preserve">, </w:t>
      </w:r>
      <w:r w:rsidRPr="00163254">
        <w:rPr>
          <w:i/>
        </w:rPr>
        <w:t>ID2</w:t>
      </w:r>
      <w:r>
        <w:t xml:space="preserve"> for DC1</w:t>
      </w:r>
      <w:r>
        <w:fldChar w:fldCharType="begin"/>
      </w:r>
      <w:r w:rsidR="003F2504">
        <w:instrText xml:space="preserve"> ADDIN ZOTERO_ITEM CSL_CITATION {"citationID":"jsRyHIOI","properties":{"formattedCitation":"\\super 4\\nosupersub{}","plainCitation":"4","noteIndex":0},"citationItems":[{"id":653,"uris":["http://zotero.org/users/4312917/items/66HQRE7B"],"uri":["http://zotero.org/users/4312917/items/66HQRE7B"],"itemData":{"id":653,"type":"article-journal","container-title":"Journal of Experimental Medicine","DOI":"10.1084/jem.192.12.1775","ISSN":"0022-1007","issue":"12","journalAbbreviation":"J Exp Med","language":"en","note":"publisher: The Rockefeller University Press","page":"1775-1784","source":"rupress.org","title":"Id2 and Id3 Inhibit Development of Cd34+ Stem Cells into Predendritic Cell (Pre-Dc)2 but Not into Pre-Dc1Evidence for a Lymphoid Origin of Pre-Dc2","volume":"192","author":[{"family":"Spits","given":"Hergen"},{"family":"Couwenberg","given":"Franka"},{"family":"Bakker","given":"Arjen Q."},{"family":"Weijer","given":"Kees"},{"family":"Uittenbogaart","given":"Christel H."}],"issued":{"date-parts":[["2000",12,18]]}}}],"schema":"https://github.com/citation-style-language/schema/raw/master/csl-citation.json"} </w:instrText>
      </w:r>
      <w:r>
        <w:fldChar w:fldCharType="separate"/>
      </w:r>
      <w:r w:rsidR="003F2504" w:rsidRPr="003F2504">
        <w:rPr>
          <w:rFonts w:ascii="Calibri" w:hAnsi="Calibri" w:cs="Calibri"/>
          <w:szCs w:val="24"/>
          <w:vertAlign w:val="superscript"/>
        </w:rPr>
        <w:t>4</w:t>
      </w:r>
      <w:r>
        <w:fldChar w:fldCharType="end"/>
      </w:r>
      <w:r>
        <w:t xml:space="preserve">, </w:t>
      </w:r>
      <w:r w:rsidRPr="00F955AB">
        <w:rPr>
          <w:i/>
        </w:rPr>
        <w:t>ITGA1</w:t>
      </w:r>
      <w:r>
        <w:t xml:space="preserve"> for glial cells. Some cells could be recognized by using multiple features, for example </w:t>
      </w:r>
      <w:r w:rsidRPr="00F955AB">
        <w:rPr>
          <w:i/>
        </w:rPr>
        <w:t>COL1A</w:t>
      </w:r>
      <w:r>
        <w:rPr>
          <w:i/>
        </w:rPr>
        <w:t>2</w:t>
      </w:r>
      <w:r>
        <w:t xml:space="preserve">+ and </w:t>
      </w:r>
      <w:r w:rsidRPr="00F955AB">
        <w:rPr>
          <w:i/>
        </w:rPr>
        <w:t>CCL11</w:t>
      </w:r>
      <w:r>
        <w:t>- specifically identified smooth muscle cells (</w:t>
      </w:r>
      <w:r w:rsidRPr="006C7DDA">
        <w:rPr>
          <w:b/>
          <w:bCs/>
        </w:rPr>
        <w:t xml:space="preserve">Supplementary Figure </w:t>
      </w:r>
      <w:r w:rsidR="003B6AA8">
        <w:rPr>
          <w:b/>
          <w:bCs/>
        </w:rPr>
        <w:t>4</w:t>
      </w:r>
      <w:r w:rsidR="003B6AA8" w:rsidRPr="006C7DDA">
        <w:rPr>
          <w:b/>
          <w:bCs/>
        </w:rPr>
        <w:t>e</w:t>
      </w:r>
      <w:r>
        <w:t xml:space="preserve">). SCMER also found novel features including </w:t>
      </w:r>
      <w:r w:rsidRPr="001624A2">
        <w:rPr>
          <w:i/>
        </w:rPr>
        <w:t>TFF3</w:t>
      </w:r>
      <w:r>
        <w:t xml:space="preserve"> (lymphatic cells), </w:t>
      </w:r>
      <w:r w:rsidRPr="009D3A37">
        <w:rPr>
          <w:i/>
        </w:rPr>
        <w:t>CYB561A3</w:t>
      </w:r>
      <w:r>
        <w:t xml:space="preserve"> (B cell subtypes; a paralog of </w:t>
      </w:r>
      <w:r w:rsidRPr="00F728AD">
        <w:rPr>
          <w:i/>
        </w:rPr>
        <w:t>CYBD1</w:t>
      </w:r>
      <w:r>
        <w:t>),</w:t>
      </w:r>
      <w:r w:rsidRPr="009D3A37">
        <w:t xml:space="preserve"> </w:t>
      </w:r>
      <w:r>
        <w:t xml:space="preserve">and </w:t>
      </w:r>
      <w:r w:rsidRPr="009D3A37">
        <w:rPr>
          <w:i/>
        </w:rPr>
        <w:t>ODF2L</w:t>
      </w:r>
      <w:r>
        <w:t xml:space="preserve"> (T cell subtypes) that were not previously reported in the original paper, but clearly discriminated cell types or cell states (</w:t>
      </w:r>
      <w:r w:rsidRPr="006C7DDA">
        <w:rPr>
          <w:b/>
          <w:bCs/>
        </w:rPr>
        <w:t>Fig</w:t>
      </w:r>
      <w:r>
        <w:rPr>
          <w:b/>
          <w:bCs/>
        </w:rPr>
        <w:t>.</w:t>
      </w:r>
      <w:r w:rsidRPr="006C7DDA">
        <w:rPr>
          <w:b/>
          <w:bCs/>
        </w:rPr>
        <w:t xml:space="preserve"> 3f and Supplementary Figure </w:t>
      </w:r>
      <w:r w:rsidR="003B6AA8">
        <w:rPr>
          <w:b/>
          <w:bCs/>
        </w:rPr>
        <w:t>4</w:t>
      </w:r>
      <w:r w:rsidR="003B6AA8" w:rsidRPr="006C7DDA">
        <w:rPr>
          <w:b/>
          <w:bCs/>
        </w:rPr>
        <w:t>e</w:t>
      </w:r>
      <w:r>
        <w:t xml:space="preserve">). </w:t>
      </w:r>
      <w:r w:rsidR="00E42192">
        <w:t xml:space="preserve">Because SCMER is designed to select non-redundant features, these alternative features may preclude it from finding the </w:t>
      </w:r>
      <w:r w:rsidR="00557710">
        <w:t>established markers.</w:t>
      </w:r>
    </w:p>
    <w:p w14:paraId="6D36DEE0" w14:textId="6849F888" w:rsidR="00F91193" w:rsidRPr="00F91193" w:rsidRDefault="00983A8B" w:rsidP="00F91193">
      <w:pPr>
        <w:pStyle w:val="Heading2"/>
      </w:pPr>
      <w:r>
        <w:t xml:space="preserve">Supplementary Result </w:t>
      </w:r>
      <w:r w:rsidR="00DD2F8F">
        <w:t>3</w:t>
      </w:r>
      <w:r>
        <w:t xml:space="preserve">: </w:t>
      </w:r>
      <w:r w:rsidR="00F91193">
        <w:t xml:space="preserve">SCMER Finds </w:t>
      </w:r>
      <w:r w:rsidR="006D0A7E">
        <w:t>F</w:t>
      </w:r>
      <w:r w:rsidR="00F91193">
        <w:t>eatures Transferring Manifold Between Modalities</w:t>
      </w:r>
    </w:p>
    <w:p w14:paraId="55B0A616" w14:textId="71C4EFAF" w:rsidR="00F91193" w:rsidRDefault="00A24688" w:rsidP="00F91193">
      <w:r>
        <w:t>Toward an intuition of the selected features, w</w:t>
      </w:r>
      <w:r w:rsidR="00F91193">
        <w:t>e experimented on a peripheral blood mononuclear cell (PBMC) dataset produced by CITE-seq</w:t>
      </w:r>
      <w:r w:rsidR="00F91193">
        <w:fldChar w:fldCharType="begin"/>
      </w:r>
      <w:r w:rsidR="003F2504">
        <w:instrText xml:space="preserve"> ADDIN ZOTERO_ITEM CSL_CITATION {"citationID":"taXAJ389","properties":{"formattedCitation":"\\super 6\\nosupersub{}","plainCitation":"6","noteIndex":0},"citationItems":[{"id":604,"uris":["http://zotero.org/users/4312917/items/P6IWCZNV"],"uri":["http://zotero.org/users/4312917/items/P6IWCZNV"],"itemData":{"id":604,"type":"article-journal","abstract":"Using established high-throughput single-cell RNA-seq platforms, CITE-seq combines highly multiplexed, antibody-based protein marker quantification with unbiased transcriptome profiling for thousands of single cells.","container-title":"Nature Methods","DOI":"10.1038/nmeth.4380","ISSN":"1548-7105","issue":"9","language":"en","note":"number: 9\npublisher: Nature Publishing Group","page":"865-868","source":"www.nature.com","title":"Simultaneous epitope and transcriptome measurement in single cells","volume":"14","author":[{"family":"Stoeckius","given":"Marlon"},{"family":"Hafemeister","given":"Christoph"},{"family":"Stephenson","given":"William"},{"family":"Houck-Loomis","given":"Brian"},{"family":"Chattopadhyay","given":"Pratip K."},{"family":"Swerdlow","given":"Harold"},{"family":"Satija","given":"Rahul"},{"family":"Smibert","given":"Peter"}],"issued":{"date-parts":[["2017",9]]}}}],"schema":"https://github.com/citation-style-language/schema/raw/master/csl-citation.json"} </w:instrText>
      </w:r>
      <w:r w:rsidR="00F91193">
        <w:fldChar w:fldCharType="separate"/>
      </w:r>
      <w:r w:rsidR="003F2504" w:rsidRPr="003F2504">
        <w:rPr>
          <w:rFonts w:ascii="Calibri" w:hAnsi="Calibri" w:cs="Calibri"/>
          <w:szCs w:val="24"/>
          <w:vertAlign w:val="superscript"/>
        </w:rPr>
        <w:t>6</w:t>
      </w:r>
      <w:r w:rsidR="00F91193">
        <w:fldChar w:fldCharType="end"/>
      </w:r>
      <w:r w:rsidR="00F91193">
        <w:t>, which has matched proteomic and transcriptomic profile</w:t>
      </w:r>
      <w:r w:rsidR="00B409FF">
        <w:t>s</w:t>
      </w:r>
      <w:r w:rsidR="00F91193">
        <w:t xml:space="preserve"> for each cell. Although the proteome data only contains 10 surface features, the cells cluster better on it than the much larger transcriptomic data (</w:t>
      </w:r>
      <w:r w:rsidR="007F349F" w:rsidRPr="007F349F">
        <w:rPr>
          <w:b/>
        </w:rPr>
        <w:t xml:space="preserve">Supplementary </w:t>
      </w:r>
      <w:r w:rsidR="00F91193" w:rsidRPr="007F349F">
        <w:rPr>
          <w:b/>
        </w:rPr>
        <w:t xml:space="preserve">Figure </w:t>
      </w:r>
      <w:r w:rsidR="003B6AA8">
        <w:rPr>
          <w:b/>
        </w:rPr>
        <w:t>1</w:t>
      </w:r>
      <w:r w:rsidR="00AE0C93">
        <w:rPr>
          <w:b/>
        </w:rPr>
        <w:t>2</w:t>
      </w:r>
      <w:r w:rsidR="003B6AA8" w:rsidRPr="007F349F">
        <w:rPr>
          <w:b/>
        </w:rPr>
        <w:t>a</w:t>
      </w:r>
      <w:r w:rsidR="007F349F" w:rsidRPr="007F349F">
        <w:t>,</w:t>
      </w:r>
      <w:r w:rsidR="003B6AA8">
        <w:rPr>
          <w:b/>
        </w:rPr>
        <w:t>1</w:t>
      </w:r>
      <w:r w:rsidR="00AE0C93">
        <w:rPr>
          <w:b/>
        </w:rPr>
        <w:t>3</w:t>
      </w:r>
      <w:r w:rsidR="003B6AA8" w:rsidRPr="007F349F">
        <w:rPr>
          <w:b/>
        </w:rPr>
        <w:t>a</w:t>
      </w:r>
      <w:r w:rsidR="00F91193">
        <w:t>), where CD4 T cells and CD8 T cells are intermingled. Using the 14 transcriptomic counterparts of the surface features also results in bad separation of cell types (</w:t>
      </w:r>
      <w:r w:rsidR="00F91193" w:rsidRPr="007F349F">
        <w:rPr>
          <w:b/>
        </w:rPr>
        <w:t xml:space="preserve">Supplementary Figure </w:t>
      </w:r>
      <w:r w:rsidR="003B6AA8">
        <w:rPr>
          <w:b/>
        </w:rPr>
        <w:t>1</w:t>
      </w:r>
      <w:r w:rsidR="00AE0C93">
        <w:rPr>
          <w:b/>
        </w:rPr>
        <w:t>3</w:t>
      </w:r>
      <w:r w:rsidR="003B6AA8" w:rsidRPr="007F349F">
        <w:rPr>
          <w:b/>
        </w:rPr>
        <w:t>b</w:t>
      </w:r>
      <w:r w:rsidR="00F91193">
        <w:t xml:space="preserve">), because large discrepancy shows in the transcriptomic and proteomic levels (e.g. CD4 vs </w:t>
      </w:r>
      <w:r w:rsidR="00F91193" w:rsidRPr="00F524B7">
        <w:rPr>
          <w:i/>
        </w:rPr>
        <w:t>CD4</w:t>
      </w:r>
      <w:r w:rsidR="00F91193">
        <w:t xml:space="preserve">, CD11c vs </w:t>
      </w:r>
      <w:r w:rsidR="00F91193" w:rsidRPr="00F524B7">
        <w:rPr>
          <w:i/>
        </w:rPr>
        <w:t>ITGAX</w:t>
      </w:r>
      <w:r w:rsidR="00F91193">
        <w:t xml:space="preserve">, CD45RA vs </w:t>
      </w:r>
      <w:r w:rsidR="00F91193" w:rsidRPr="00F524B7">
        <w:rPr>
          <w:i/>
        </w:rPr>
        <w:t>PTPRC</w:t>
      </w:r>
      <w:r w:rsidR="00F91193">
        <w:t xml:space="preserve">, and CD57 vs </w:t>
      </w:r>
      <w:r w:rsidR="00F91193" w:rsidRPr="00F524B7">
        <w:rPr>
          <w:i/>
        </w:rPr>
        <w:t>B3GAT1</w:t>
      </w:r>
      <w:r w:rsidR="00F91193">
        <w:t xml:space="preserve">; </w:t>
      </w:r>
      <w:r w:rsidR="007F349F" w:rsidRPr="007F349F">
        <w:rPr>
          <w:b/>
        </w:rPr>
        <w:t>Supplementary</w:t>
      </w:r>
      <w:r w:rsidR="007F349F">
        <w:t xml:space="preserve"> </w:t>
      </w:r>
      <w:r w:rsidR="00F91193" w:rsidRPr="007F349F">
        <w:rPr>
          <w:b/>
        </w:rPr>
        <w:t xml:space="preserve">Figure </w:t>
      </w:r>
      <w:r w:rsidR="003B6AA8">
        <w:rPr>
          <w:b/>
        </w:rPr>
        <w:t>1</w:t>
      </w:r>
      <w:r w:rsidR="00AE0C93">
        <w:rPr>
          <w:b/>
        </w:rPr>
        <w:t>2</w:t>
      </w:r>
      <w:r w:rsidR="003B6AA8" w:rsidRPr="007F349F">
        <w:rPr>
          <w:b/>
        </w:rPr>
        <w:t>c</w:t>
      </w:r>
      <w:r w:rsidR="007F349F" w:rsidRPr="007F349F">
        <w:rPr>
          <w:b/>
        </w:rPr>
        <w:t>,</w:t>
      </w:r>
      <w:r w:rsidR="003B6AA8">
        <w:rPr>
          <w:b/>
        </w:rPr>
        <w:t>1</w:t>
      </w:r>
      <w:r w:rsidR="00AE0C93">
        <w:rPr>
          <w:b/>
        </w:rPr>
        <w:t>4</w:t>
      </w:r>
      <w:r w:rsidR="00F91193">
        <w:t>). In fact, many of the corresponding genes are not even in the top ten most correlated ones with the features (</w:t>
      </w:r>
      <w:r w:rsidR="007F349F" w:rsidRPr="007F349F">
        <w:rPr>
          <w:b/>
        </w:rPr>
        <w:t>Supplementary Table</w:t>
      </w:r>
      <w:r w:rsidR="00F91193" w:rsidRPr="007F349F">
        <w:rPr>
          <w:b/>
        </w:rPr>
        <w:t xml:space="preserve"> </w:t>
      </w:r>
      <w:r w:rsidR="001412F4">
        <w:rPr>
          <w:b/>
        </w:rPr>
        <w:t>9</w:t>
      </w:r>
      <w:r w:rsidR="00F91193">
        <w:t xml:space="preserve">). Even for the features that are highly correlated with their mRNA counterpart, other gene may appear to be even higher correlated (e.g., CD2 </w:t>
      </w:r>
      <w:r w:rsidR="007F349F">
        <w:t>vs</w:t>
      </w:r>
      <w:r w:rsidR="00F91193">
        <w:t xml:space="preserve"> </w:t>
      </w:r>
      <w:r w:rsidR="00F91193" w:rsidRPr="00F524B7">
        <w:rPr>
          <w:i/>
        </w:rPr>
        <w:t>HLA-DRA</w:t>
      </w:r>
      <w:r w:rsidR="00F91193">
        <w:t xml:space="preserve">, CD14 </w:t>
      </w:r>
      <w:r w:rsidR="007F349F">
        <w:t>vs</w:t>
      </w:r>
      <w:r w:rsidR="00F91193">
        <w:t xml:space="preserve"> </w:t>
      </w:r>
      <w:r w:rsidR="00F91193" w:rsidRPr="00F524B7">
        <w:rPr>
          <w:i/>
        </w:rPr>
        <w:t>LYZ</w:t>
      </w:r>
      <w:r w:rsidR="00F91193">
        <w:t xml:space="preserve">, </w:t>
      </w:r>
      <w:r w:rsidR="007F349F">
        <w:t xml:space="preserve">and </w:t>
      </w:r>
      <w:r w:rsidR="00F91193">
        <w:t xml:space="preserve">CD19 </w:t>
      </w:r>
      <w:r w:rsidR="007F349F">
        <w:t>vs</w:t>
      </w:r>
      <w:r w:rsidR="00F91193">
        <w:t xml:space="preserve"> </w:t>
      </w:r>
      <w:r w:rsidR="00F91193" w:rsidRPr="00F524B7">
        <w:rPr>
          <w:i/>
        </w:rPr>
        <w:t>CD79A</w:t>
      </w:r>
      <w:r w:rsidR="00F91193">
        <w:t xml:space="preserve">). </w:t>
      </w:r>
    </w:p>
    <w:p w14:paraId="74E089DB" w14:textId="06D51921" w:rsidR="00F91193" w:rsidRDefault="00F91193" w:rsidP="00F91193">
      <w:r>
        <w:lastRenderedPageBreak/>
        <w:t>We used SCMER to also keep 14 genes. Using these features, the embedding of cells (</w:t>
      </w:r>
      <w:r w:rsidR="007F349F" w:rsidRPr="007F349F">
        <w:rPr>
          <w:b/>
        </w:rPr>
        <w:t xml:space="preserve">Supplementary </w:t>
      </w:r>
      <w:r w:rsidRPr="007F349F">
        <w:rPr>
          <w:b/>
        </w:rPr>
        <w:t xml:space="preserve">Figure </w:t>
      </w:r>
      <w:r w:rsidR="003B6AA8">
        <w:rPr>
          <w:b/>
        </w:rPr>
        <w:t>1</w:t>
      </w:r>
      <w:r w:rsidR="00AE0C93">
        <w:rPr>
          <w:b/>
        </w:rPr>
        <w:t>2</w:t>
      </w:r>
      <w:r w:rsidR="003B6AA8" w:rsidRPr="007F349F">
        <w:rPr>
          <w:b/>
        </w:rPr>
        <w:t>b</w:t>
      </w:r>
      <w:r>
        <w:t>) has better separation of CD4 T cells, CD8 T cells, and NK cells compared with the embedding on all genes (</w:t>
      </w:r>
      <w:r w:rsidRPr="007F349F">
        <w:rPr>
          <w:b/>
        </w:rPr>
        <w:t xml:space="preserve">Supplementary Figure </w:t>
      </w:r>
      <w:r w:rsidR="003B6AA8">
        <w:rPr>
          <w:b/>
        </w:rPr>
        <w:t>1</w:t>
      </w:r>
      <w:r w:rsidR="00AE0C93">
        <w:rPr>
          <w:b/>
        </w:rPr>
        <w:t>3</w:t>
      </w:r>
      <w:r w:rsidR="003B6AA8" w:rsidRPr="007F349F">
        <w:rPr>
          <w:b/>
        </w:rPr>
        <w:t>a</w:t>
      </w:r>
      <w:r>
        <w:t>), the corresponding genes of the surface features (</w:t>
      </w:r>
      <w:r w:rsidRPr="007F349F">
        <w:rPr>
          <w:b/>
        </w:rPr>
        <w:t xml:space="preserve">Supplementary Figure </w:t>
      </w:r>
      <w:r w:rsidR="003B6AA8">
        <w:rPr>
          <w:b/>
        </w:rPr>
        <w:t>1</w:t>
      </w:r>
      <w:r w:rsidR="00AE0C93">
        <w:rPr>
          <w:b/>
        </w:rPr>
        <w:t>3</w:t>
      </w:r>
      <w:r w:rsidR="003B6AA8" w:rsidRPr="007F349F">
        <w:rPr>
          <w:b/>
        </w:rPr>
        <w:t>b</w:t>
      </w:r>
      <w:r>
        <w:t>), and genes that are highly correlated with the surface features (</w:t>
      </w:r>
      <w:r w:rsidRPr="007F349F">
        <w:rPr>
          <w:b/>
        </w:rPr>
        <w:t>Suppleme</w:t>
      </w:r>
      <w:r w:rsidR="00B409FF">
        <w:rPr>
          <w:b/>
        </w:rPr>
        <w:t>n</w:t>
      </w:r>
      <w:r w:rsidRPr="007F349F">
        <w:rPr>
          <w:b/>
        </w:rPr>
        <w:t xml:space="preserve">tary Figure </w:t>
      </w:r>
      <w:r w:rsidR="003B6AA8">
        <w:rPr>
          <w:b/>
        </w:rPr>
        <w:t>1</w:t>
      </w:r>
      <w:r w:rsidR="00AE0C93">
        <w:rPr>
          <w:b/>
        </w:rPr>
        <w:t>3</w:t>
      </w:r>
      <w:r w:rsidR="003B6AA8" w:rsidRPr="007F349F">
        <w:rPr>
          <w:b/>
        </w:rPr>
        <w:t>c</w:t>
      </w:r>
      <w:r w:rsidRPr="007F349F">
        <w:rPr>
          <w:b/>
        </w:rPr>
        <w:t>,d</w:t>
      </w:r>
      <w:r>
        <w:t>). The selected features are clearly more correlated with the surface features compared with their transcriptomic counterparts (</w:t>
      </w:r>
      <w:r w:rsidR="007F349F" w:rsidRPr="007F349F">
        <w:rPr>
          <w:b/>
        </w:rPr>
        <w:t xml:space="preserve">Supplementary </w:t>
      </w:r>
      <w:r w:rsidRPr="007F349F">
        <w:rPr>
          <w:b/>
        </w:rPr>
        <w:t xml:space="preserve">Figure </w:t>
      </w:r>
      <w:r w:rsidR="003B6AA8">
        <w:rPr>
          <w:b/>
        </w:rPr>
        <w:t>1</w:t>
      </w:r>
      <w:r w:rsidR="00AE0C93">
        <w:rPr>
          <w:b/>
        </w:rPr>
        <w:t>2</w:t>
      </w:r>
      <w:r w:rsidR="003B6AA8" w:rsidRPr="007F349F">
        <w:rPr>
          <w:b/>
        </w:rPr>
        <w:t>d</w:t>
      </w:r>
      <w:r>
        <w:t xml:space="preserve">). In fact, 13 out of 14 selected features (except for </w:t>
      </w:r>
      <w:r w:rsidRPr="00506039">
        <w:rPr>
          <w:i/>
        </w:rPr>
        <w:t>FLT</w:t>
      </w:r>
      <w:r>
        <w:t xml:space="preserve">) are in </w:t>
      </w:r>
      <w:r w:rsidR="00B409FF">
        <w:t xml:space="preserve">the </w:t>
      </w:r>
      <w:r>
        <w:t>top 10 correlated genes of the surface features (</w:t>
      </w:r>
      <w:r w:rsidRPr="007F349F">
        <w:rPr>
          <w:b/>
        </w:rPr>
        <w:t xml:space="preserve">Supplementary Table </w:t>
      </w:r>
      <w:r w:rsidR="001412F4">
        <w:rPr>
          <w:b/>
        </w:rPr>
        <w:t>9</w:t>
      </w:r>
      <w:r>
        <w:t>). We noticed that no features are found for CD57 by SCMER. The reason might be that CD57 appears to contribute the least to the manifold (</w:t>
      </w:r>
      <w:r w:rsidRPr="007F349F">
        <w:rPr>
          <w:b/>
        </w:rPr>
        <w:t xml:space="preserve">Supplementary Figure </w:t>
      </w:r>
      <w:r w:rsidR="003B6AA8">
        <w:rPr>
          <w:b/>
        </w:rPr>
        <w:t>1</w:t>
      </w:r>
      <w:r w:rsidR="00AE0C93">
        <w:rPr>
          <w:b/>
        </w:rPr>
        <w:t>4</w:t>
      </w:r>
      <w:r w:rsidR="003B6AA8" w:rsidRPr="007F349F">
        <w:rPr>
          <w:b/>
        </w:rPr>
        <w:t>j</w:t>
      </w:r>
      <w:r>
        <w:t>). When we loosened the restriction of number of features to 26, the embedding further improves (</w:t>
      </w:r>
      <w:r w:rsidRPr="007F349F">
        <w:rPr>
          <w:b/>
        </w:rPr>
        <w:t xml:space="preserve">Supplementary Figure </w:t>
      </w:r>
      <w:r w:rsidR="003B6AA8">
        <w:rPr>
          <w:b/>
        </w:rPr>
        <w:t>1</w:t>
      </w:r>
      <w:r w:rsidR="00AE0C93">
        <w:rPr>
          <w:b/>
        </w:rPr>
        <w:t>2</w:t>
      </w:r>
      <w:r w:rsidR="003B6AA8" w:rsidRPr="007F349F">
        <w:rPr>
          <w:b/>
        </w:rPr>
        <w:t>e</w:t>
      </w:r>
      <w:r>
        <w:t>) and genes correlate with CD57 are also recalled (</w:t>
      </w:r>
      <w:r w:rsidRPr="007F349F">
        <w:rPr>
          <w:b/>
        </w:rPr>
        <w:t xml:space="preserve">Supplementary Figure </w:t>
      </w:r>
      <w:r w:rsidR="003B6AA8">
        <w:rPr>
          <w:b/>
        </w:rPr>
        <w:t>1</w:t>
      </w:r>
      <w:r w:rsidR="00AE0C93">
        <w:rPr>
          <w:b/>
        </w:rPr>
        <w:t>3</w:t>
      </w:r>
      <w:r w:rsidR="003B6AA8" w:rsidRPr="007F349F">
        <w:rPr>
          <w:b/>
        </w:rPr>
        <w:t>f</w:t>
      </w:r>
      <w:r>
        <w:t xml:space="preserve">, </w:t>
      </w:r>
      <w:r w:rsidRPr="007F349F">
        <w:rPr>
          <w:b/>
        </w:rPr>
        <w:t xml:space="preserve">Supplementary Table </w:t>
      </w:r>
      <w:r w:rsidR="001412F4">
        <w:rPr>
          <w:b/>
        </w:rPr>
        <w:t>10</w:t>
      </w:r>
      <w:r>
        <w:t>). SCMER addresses the problem of discordant mRNA and protein levels and helps generate embedding/clusters similar to what is generated by surface feature profile using mRNA data. The whole transcriptome can still be used to identify cell type/states afterward. This type of analysis may also be applicable to scRNA and scATAC, or mRNA and miRNA.</w:t>
      </w:r>
    </w:p>
    <w:p w14:paraId="27A45936" w14:textId="6D668EEA" w:rsidR="004C73E1" w:rsidRPr="00F91193" w:rsidRDefault="00983A8B" w:rsidP="004C73E1">
      <w:pPr>
        <w:pStyle w:val="Heading2"/>
      </w:pPr>
      <w:r>
        <w:t xml:space="preserve">Supplementary Result </w:t>
      </w:r>
      <w:r w:rsidR="00DD2F8F">
        <w:t>4</w:t>
      </w:r>
      <w:r>
        <w:t xml:space="preserve">: </w:t>
      </w:r>
      <w:r w:rsidR="004C73E1">
        <w:t>SCMER Finds Features Supplements a Preselected Feature List</w:t>
      </w:r>
    </w:p>
    <w:p w14:paraId="43D912BA" w14:textId="67222D15" w:rsidR="004C73E1" w:rsidRPr="004C73E1" w:rsidRDefault="004C73E1" w:rsidP="00F91193">
      <w:r>
        <w:t xml:space="preserve">In </w:t>
      </w:r>
      <w:r w:rsidRPr="004C73E1">
        <w:rPr>
          <w:b/>
        </w:rPr>
        <w:t xml:space="preserve">Supplementary Results </w:t>
      </w:r>
      <w:r w:rsidR="00DA367F">
        <w:rPr>
          <w:b/>
        </w:rPr>
        <w:t>3</w:t>
      </w:r>
      <w:r>
        <w:t>, we show</w:t>
      </w:r>
      <w:r w:rsidR="00595945">
        <w:t>ed</w:t>
      </w:r>
      <w:r>
        <w:t xml:space="preserve"> that some genes are not the most correlated one of their protein counterparts. That said, when designing a panel, it may still be desirable to keep these genes for better biological interpretability. In light of this need, we did the same experiment on the data, but fixed </w:t>
      </w:r>
      <w:r w:rsidR="00215131">
        <w:t>the 14</w:t>
      </w:r>
      <w:r>
        <w:t xml:space="preserve"> genes</w:t>
      </w:r>
      <w:r w:rsidR="00215131">
        <w:t xml:space="preserve"> correspond to the surface markers</w:t>
      </w:r>
      <w:r>
        <w:t xml:space="preserve"> [</w:t>
      </w:r>
      <w:r w:rsidRPr="008D5D8B">
        <w:rPr>
          <w:i/>
        </w:rPr>
        <w:t>CD2</w:t>
      </w:r>
      <w:r>
        <w:rPr>
          <w:i/>
        </w:rPr>
        <w:t xml:space="preserve">, </w:t>
      </w:r>
      <w:r w:rsidRPr="008D5D8B">
        <w:rPr>
          <w:i/>
        </w:rPr>
        <w:t>CD3D</w:t>
      </w:r>
      <w:r>
        <w:t xml:space="preserve">, </w:t>
      </w:r>
      <w:r w:rsidRPr="004C73E1">
        <w:rPr>
          <w:i/>
        </w:rPr>
        <w:t>CD3E</w:t>
      </w:r>
      <w:r w:rsidRPr="004C73E1">
        <w:t xml:space="preserve">, </w:t>
      </w:r>
      <w:r w:rsidRPr="004C73E1">
        <w:rPr>
          <w:i/>
        </w:rPr>
        <w:t>CD3G</w:t>
      </w:r>
      <w:r>
        <w:rPr>
          <w:i/>
        </w:rPr>
        <w:t xml:space="preserve">, CD4, CD8A, CD8B, ITGAX </w:t>
      </w:r>
      <w:r w:rsidRPr="004C73E1">
        <w:t>(CD11c)</w:t>
      </w:r>
      <w:r>
        <w:rPr>
          <w:i/>
        </w:rPr>
        <w:t xml:space="preserve">, CD14, FCGR3A </w:t>
      </w:r>
      <w:r w:rsidRPr="004C73E1">
        <w:t>(CD16)</w:t>
      </w:r>
      <w:r>
        <w:rPr>
          <w:i/>
        </w:rPr>
        <w:t xml:space="preserve">, FCGR3B </w:t>
      </w:r>
      <w:r w:rsidRPr="004C73E1">
        <w:t>(CD16)</w:t>
      </w:r>
      <w:r>
        <w:rPr>
          <w:i/>
        </w:rPr>
        <w:t xml:space="preserve">, CD19, PRPRC </w:t>
      </w:r>
      <w:r>
        <w:t>(CD45RA), and</w:t>
      </w:r>
      <w:r>
        <w:rPr>
          <w:i/>
        </w:rPr>
        <w:t xml:space="preserve"> B3GAT1 </w:t>
      </w:r>
      <w:r>
        <w:t>(CD57)]</w:t>
      </w:r>
      <w:r w:rsidR="00D273C8">
        <w:t>.</w:t>
      </w:r>
      <w:r w:rsidR="004723CC">
        <w:t xml:space="preserve"> </w:t>
      </w:r>
      <w:r w:rsidR="00215131">
        <w:t xml:space="preserve">SCMER </w:t>
      </w:r>
      <w:r w:rsidR="00B409FF">
        <w:t>found</w:t>
      </w:r>
      <w:r w:rsidR="00215131">
        <w:t xml:space="preserve"> 26 additional genes (</w:t>
      </w:r>
      <w:r w:rsidR="00215131" w:rsidRPr="00215131">
        <w:rPr>
          <w:b/>
        </w:rPr>
        <w:t xml:space="preserve">Supplementary Figure </w:t>
      </w:r>
      <w:r w:rsidR="003B6AA8" w:rsidRPr="00215131">
        <w:rPr>
          <w:b/>
        </w:rPr>
        <w:t>1</w:t>
      </w:r>
      <w:r w:rsidR="00AE0C93">
        <w:rPr>
          <w:b/>
        </w:rPr>
        <w:t>5</w:t>
      </w:r>
      <w:r w:rsidR="003B6AA8" w:rsidRPr="00215131">
        <w:rPr>
          <w:b/>
        </w:rPr>
        <w:t>a</w:t>
      </w:r>
      <w:r w:rsidR="003B6AA8">
        <w:t xml:space="preserve"> </w:t>
      </w:r>
      <w:r w:rsidR="00215131">
        <w:t xml:space="preserve">and </w:t>
      </w:r>
      <w:r w:rsidR="00215131" w:rsidRPr="00215131">
        <w:rPr>
          <w:b/>
        </w:rPr>
        <w:t>Supplementary Table 1</w:t>
      </w:r>
      <w:r w:rsidR="001412F4">
        <w:rPr>
          <w:b/>
        </w:rPr>
        <w:t>1</w:t>
      </w:r>
      <w:r w:rsidR="00215131">
        <w:t>). SCMER reduced the number of features for the surface markers that are already well</w:t>
      </w:r>
      <w:r w:rsidR="00B409FF">
        <w:t>-</w:t>
      </w:r>
      <w:r w:rsidR="00215131">
        <w:t xml:space="preserve">characterized by the </w:t>
      </w:r>
      <w:r w:rsidR="00215131">
        <w:lastRenderedPageBreak/>
        <w:t xml:space="preserve">preselected features (e.g., CD3 and CD8), and added more features for those that are not (e.g., CD4, CD11c, CD19, CD49RA, and CD57). The </w:t>
      </w:r>
      <w:r w:rsidR="006B1ABF">
        <w:t>manifold is well maintained by these markers (</w:t>
      </w:r>
      <w:r w:rsidR="006B1ABF" w:rsidRPr="00215131">
        <w:rPr>
          <w:b/>
        </w:rPr>
        <w:t xml:space="preserve">Supplementary Figure </w:t>
      </w:r>
      <w:r w:rsidR="003B6AA8" w:rsidRPr="00215131">
        <w:rPr>
          <w:b/>
        </w:rPr>
        <w:t>1</w:t>
      </w:r>
      <w:r w:rsidR="00AE0C93">
        <w:rPr>
          <w:b/>
        </w:rPr>
        <w:t>5</w:t>
      </w:r>
      <w:r w:rsidR="003B6AA8">
        <w:rPr>
          <w:b/>
        </w:rPr>
        <w:t>b</w:t>
      </w:r>
      <w:r w:rsidR="003B6AA8">
        <w:t xml:space="preserve"> </w:t>
      </w:r>
      <w:r w:rsidR="006B1ABF">
        <w:t xml:space="preserve">and </w:t>
      </w:r>
      <w:r w:rsidR="006B1ABF" w:rsidRPr="006B1ABF">
        <w:rPr>
          <w:b/>
        </w:rPr>
        <w:t xml:space="preserve">Supplementary Figure </w:t>
      </w:r>
      <w:r w:rsidR="003B6AA8">
        <w:rPr>
          <w:b/>
        </w:rPr>
        <w:t>1</w:t>
      </w:r>
      <w:r w:rsidR="00AE0C93">
        <w:rPr>
          <w:b/>
        </w:rPr>
        <w:t>3</w:t>
      </w:r>
      <w:r w:rsidR="006B1ABF">
        <w:t>).</w:t>
      </w:r>
    </w:p>
    <w:p w14:paraId="4E4E4A4B" w14:textId="2B9D9DAD" w:rsidR="00F91193" w:rsidRDefault="00983A8B" w:rsidP="00F91193">
      <w:pPr>
        <w:pStyle w:val="Heading2"/>
        <w:numPr>
          <w:ilvl w:val="1"/>
          <w:numId w:val="1"/>
        </w:numPr>
      </w:pPr>
      <w:r>
        <w:t xml:space="preserve">Supplementary Result </w:t>
      </w:r>
      <w:r w:rsidR="00DD2F8F">
        <w:t>5</w:t>
      </w:r>
      <w:r>
        <w:t xml:space="preserve">: </w:t>
      </w:r>
      <w:r w:rsidR="00F91193">
        <w:t>SCMER Can Focus on Novel feature Discovery</w:t>
      </w:r>
    </w:p>
    <w:p w14:paraId="5BD49499" w14:textId="71762244" w:rsidR="00F91193" w:rsidRDefault="00F91193" w:rsidP="00F91193">
      <w:r>
        <w:t>In the experiments above, both established features and novel features are detected. SCMER can be set to discover only novel features. Having confirmed that SCMER transfers manifold information between modalities, we use the same strategy to better detect novel features. Just like choosing transcriptomic features to mimic the proteomic manifold, we choose features from genes that are not established features to mimic the original manifold defined by all genes. We demonstrate this application on the bone marrow dataset, where the established features are excluded from the candidate features (while they are still used to define the original manifold). Without using the most well-established feature genes, SCMER can still select a set of features to recover the manifold (</w:t>
      </w:r>
      <w:r w:rsidRPr="007F349F">
        <w:rPr>
          <w:b/>
        </w:rPr>
        <w:t xml:space="preserve">Supplementary Figure </w:t>
      </w:r>
      <w:r w:rsidR="003B6AA8" w:rsidRPr="007F349F">
        <w:rPr>
          <w:b/>
        </w:rPr>
        <w:t>1</w:t>
      </w:r>
      <w:r w:rsidR="00AE0C93">
        <w:rPr>
          <w:b/>
        </w:rPr>
        <w:t>5</w:t>
      </w:r>
      <w:r w:rsidR="003B6AA8">
        <w:rPr>
          <w:b/>
        </w:rPr>
        <w:t>c</w:t>
      </w:r>
      <w:r w:rsidR="003B6AA8">
        <w:t xml:space="preserve"> </w:t>
      </w:r>
      <w:r>
        <w:t xml:space="preserve">compared with </w:t>
      </w:r>
      <w:r w:rsidRPr="007F349F">
        <w:rPr>
          <w:b/>
        </w:rPr>
        <w:t>Fig</w:t>
      </w:r>
      <w:r w:rsidR="007F349F" w:rsidRPr="007F349F">
        <w:rPr>
          <w:b/>
        </w:rPr>
        <w:t>.</w:t>
      </w:r>
      <w:r w:rsidRPr="007F349F">
        <w:rPr>
          <w:b/>
        </w:rPr>
        <w:t xml:space="preserve"> 4a</w:t>
      </w:r>
      <w:r>
        <w:t>). The selected features conc</w:t>
      </w:r>
      <w:r w:rsidRPr="00CA417E">
        <w:t>ords well with cell types and developmental trajectories (continuums) (</w:t>
      </w:r>
      <w:r w:rsidRPr="007F349F">
        <w:rPr>
          <w:b/>
        </w:rPr>
        <w:t>Supplementary Table 1</w:t>
      </w:r>
      <w:r w:rsidR="001412F4">
        <w:rPr>
          <w:b/>
        </w:rPr>
        <w:t>2</w:t>
      </w:r>
      <w:r w:rsidR="00806DFF">
        <w:rPr>
          <w:b/>
        </w:rPr>
        <w:t>,1</w:t>
      </w:r>
      <w:r w:rsidR="001412F4">
        <w:rPr>
          <w:b/>
        </w:rPr>
        <w:t>3</w:t>
      </w:r>
      <w:r w:rsidRPr="00CA417E">
        <w:t>), which shows that SCMER reliably discover</w:t>
      </w:r>
      <w:r w:rsidR="00B409FF">
        <w:t>s</w:t>
      </w:r>
      <w:r>
        <w:t xml:space="preserve"> feature</w:t>
      </w:r>
      <w:r w:rsidRPr="00CA417E">
        <w:t>s from a less studied set of genes to inspire novel finding</w:t>
      </w:r>
      <w:r w:rsidRPr="00D97EFD">
        <w:t>s.</w:t>
      </w:r>
    </w:p>
    <w:p w14:paraId="47A4CC56" w14:textId="77BD8AF1" w:rsidR="006B62AD" w:rsidRDefault="00983A8B" w:rsidP="006B62AD">
      <w:pPr>
        <w:pStyle w:val="Heading2"/>
      </w:pPr>
      <w:r>
        <w:t xml:space="preserve">Supplementary Result </w:t>
      </w:r>
      <w:r w:rsidR="00DD2F8F">
        <w:t>6</w:t>
      </w:r>
      <w:r>
        <w:t xml:space="preserve">: </w:t>
      </w:r>
      <w:proofErr w:type="spellStart"/>
      <w:r w:rsidR="006B62AD">
        <w:t>CyTOF</w:t>
      </w:r>
      <w:proofErr w:type="spellEnd"/>
      <w:r w:rsidR="006B62AD">
        <w:t xml:space="preserve"> Data</w:t>
      </w:r>
    </w:p>
    <w:p w14:paraId="183FE0E0" w14:textId="7F0BAE1C" w:rsidR="006B62AD" w:rsidRPr="00FF777E" w:rsidRDefault="006B62AD" w:rsidP="006B62AD">
      <w:r>
        <w:t>W</w:t>
      </w:r>
      <w:r w:rsidRPr="00E36231">
        <w:t>e validate</w:t>
      </w:r>
      <w:r w:rsidR="00B409FF">
        <w:t>d</w:t>
      </w:r>
      <w:r w:rsidRPr="00E36231">
        <w:t xml:space="preserve"> that </w:t>
      </w:r>
      <w:r>
        <w:t>SCMER is</w:t>
      </w:r>
      <w:r w:rsidRPr="00E36231">
        <w:t xml:space="preserve"> also applicable to </w:t>
      </w:r>
      <w:proofErr w:type="spellStart"/>
      <w:r w:rsidRPr="00E36231">
        <w:t>CyTOF</w:t>
      </w:r>
      <w:proofErr w:type="spellEnd"/>
      <w:r w:rsidRPr="00E36231">
        <w:t xml:space="preserve"> data, as the dimensionality differs from scRNA-seq</w:t>
      </w:r>
      <w:r>
        <w:t xml:space="preserve">. We used an AML dataset including </w:t>
      </w:r>
      <w:r w:rsidRPr="00455637">
        <w:t>104</w:t>
      </w:r>
      <w:r>
        <w:t>,</w:t>
      </w:r>
      <w:r w:rsidRPr="00455637">
        <w:t>184</w:t>
      </w:r>
      <w:r>
        <w:t xml:space="preserve"> labeled cells</w:t>
      </w:r>
      <w:r>
        <w:fldChar w:fldCharType="begin"/>
      </w:r>
      <w:r w:rsidR="003F2504">
        <w:instrText xml:space="preserve"> ADDIN ZOTERO_ITEM CSL_CITATION {"citationID":"F4wBwfSo","properties":{"formattedCitation":"\\super 7\\nosupersub{}","plainCitation":"7","noteIndex":0},"citationItems":[{"id":705,"uris":["http://zotero.org/users/4312917/items/5KL4NWT5"],"uri":["http://zotero.org/users/4312917/items/5KL4NWT5"],"itemData":{"id":705,"type":"article-journal","container-title":"Cell","DOI":"10.1016/j.cell.2015.05.047","ISSN":"0092-8674, 1097-4172","issue":"1","journalAbbreviation":"Cell","language":"English","note":"publisher: Elsevier\nPMID: 26095251","page":"184-197","source":"www.cell.com","title":"Data-Driven Phenotypic Dissection of AML Reveals Progenitor-like Cells that Correlate with Prognosis","volume":"162","author":[{"family":"Levine","given":"Jacob H."},{"family":"Simonds","given":"Erin F."},{"family":"Bendall","given":"Sean C."},{"family":"Davis","given":"Kara L."},{"family":"Amir","given":"El-ad D."},{"family":"Tadmor","given":"Michelle D."},{"family":"Litvin","given":"Oren"},{"family":"Fienberg","given":"Harris G."},{"family":"Jager","given":"Astraea"},{"family":"Zunder","given":"Eli R."},{"family":"Finck","given":"Rachel"},{"family":"Gedman","given":"Amanda L."},{"family":"Radtke","given":"Ina"},{"family":"Downing","given":"James R."},{"family":"Pe’er","given":"Dana"},{"family":"Nolan","given":"Garry P."}],"issued":{"date-parts":[["2015",7,2]]}}}],"schema":"https://github.com/citation-style-language/schema/raw/master/csl-citation.json"} </w:instrText>
      </w:r>
      <w:r>
        <w:fldChar w:fldCharType="separate"/>
      </w:r>
      <w:r w:rsidR="003F2504" w:rsidRPr="003F2504">
        <w:rPr>
          <w:rFonts w:ascii="Calibri" w:hAnsi="Calibri" w:cs="Calibri"/>
          <w:szCs w:val="24"/>
          <w:vertAlign w:val="superscript"/>
        </w:rPr>
        <w:t>7</w:t>
      </w:r>
      <w:r>
        <w:fldChar w:fldCharType="end"/>
      </w:r>
      <w:r>
        <w:t xml:space="preserve"> with 32 protein markers (</w:t>
      </w:r>
      <w:r w:rsidRPr="00806DFF">
        <w:rPr>
          <w:b/>
        </w:rPr>
        <w:t xml:space="preserve">Supplementary Figure </w:t>
      </w:r>
      <w:r w:rsidR="003B6AA8" w:rsidRPr="00806DFF">
        <w:rPr>
          <w:b/>
        </w:rPr>
        <w:t>1</w:t>
      </w:r>
      <w:r w:rsidR="00AE0C93">
        <w:rPr>
          <w:b/>
        </w:rPr>
        <w:t>6</w:t>
      </w:r>
      <w:r w:rsidR="003B6AA8" w:rsidRPr="00806DFF">
        <w:rPr>
          <w:b/>
        </w:rPr>
        <w:t>a</w:t>
      </w:r>
      <w:r>
        <w:t>). We used SCMER to find a subset of markers. Although the panel size is already small and most markers are essential for distinguishing the cell types, we were still able to squeeze it to 19 markers (</w:t>
      </w:r>
      <w:r w:rsidRPr="00806DFF">
        <w:rPr>
          <w:b/>
        </w:rPr>
        <w:t>Supplementary</w:t>
      </w:r>
      <w:r w:rsidR="00806DFF" w:rsidRPr="00806DFF">
        <w:rPr>
          <w:b/>
        </w:rPr>
        <w:t xml:space="preserve"> Figure</w:t>
      </w:r>
      <w:r w:rsidRPr="00806DFF">
        <w:rPr>
          <w:b/>
        </w:rPr>
        <w:t xml:space="preserve"> </w:t>
      </w:r>
      <w:r w:rsidR="003B6AA8" w:rsidRPr="00806DFF">
        <w:rPr>
          <w:b/>
        </w:rPr>
        <w:t>1</w:t>
      </w:r>
      <w:r w:rsidR="00AE0C93">
        <w:rPr>
          <w:b/>
        </w:rPr>
        <w:t>6</w:t>
      </w:r>
      <w:r w:rsidR="003B6AA8" w:rsidRPr="00806DFF">
        <w:rPr>
          <w:b/>
        </w:rPr>
        <w:t>c</w:t>
      </w:r>
      <w:r>
        <w:t>) while keeping the manifold (</w:t>
      </w:r>
      <w:r w:rsidRPr="00806DFF">
        <w:rPr>
          <w:b/>
        </w:rPr>
        <w:t xml:space="preserve">Supplementary Figure </w:t>
      </w:r>
      <w:r w:rsidR="003B6AA8" w:rsidRPr="00806DFF">
        <w:rPr>
          <w:b/>
        </w:rPr>
        <w:t>1</w:t>
      </w:r>
      <w:r w:rsidR="00AE0C93">
        <w:rPr>
          <w:b/>
        </w:rPr>
        <w:t>6</w:t>
      </w:r>
      <w:r w:rsidR="003B6AA8" w:rsidRPr="00806DFF">
        <w:rPr>
          <w:b/>
        </w:rPr>
        <w:t>b</w:t>
      </w:r>
      <w:r>
        <w:t xml:space="preserve">). </w:t>
      </w:r>
      <w:r w:rsidRPr="00E36231">
        <w:t xml:space="preserve">Although selecting markers from a specially designed </w:t>
      </w:r>
      <w:proofErr w:type="spellStart"/>
      <w:r w:rsidRPr="00E36231">
        <w:t>CyTOF</w:t>
      </w:r>
      <w:proofErr w:type="spellEnd"/>
      <w:r w:rsidRPr="00E36231">
        <w:t xml:space="preserve"> panel may not help suggest novel markers, combining the most representative combination of markers from a few </w:t>
      </w:r>
      <w:r>
        <w:t xml:space="preserve">cell type specific panels to form a </w:t>
      </w:r>
      <w:r>
        <w:lastRenderedPageBreak/>
        <w:t xml:space="preserve">comprehensive panel. As a comparison, we randomly chose 19 markers and calculated the UMAP </w:t>
      </w:r>
      <w:r w:rsidR="00AA228E">
        <w:t>embedding and</w:t>
      </w:r>
      <w:r>
        <w:t xml:space="preserve"> repeated</w:t>
      </w:r>
      <w:r w:rsidR="00B409FF">
        <w:t xml:space="preserve"> it</w:t>
      </w:r>
      <w:r>
        <w:t xml:space="preserve"> five times (</w:t>
      </w:r>
      <w:r w:rsidRPr="00806DFF">
        <w:rPr>
          <w:b/>
        </w:rPr>
        <w:t xml:space="preserve">Supplementary Figure </w:t>
      </w:r>
      <w:r w:rsidR="003B6AA8" w:rsidRPr="00806DFF">
        <w:rPr>
          <w:b/>
        </w:rPr>
        <w:t>1</w:t>
      </w:r>
      <w:r w:rsidR="00AE0C93">
        <w:rPr>
          <w:b/>
        </w:rPr>
        <w:t>6</w:t>
      </w:r>
      <w:r w:rsidR="003B6AA8" w:rsidRPr="00806DFF">
        <w:rPr>
          <w:b/>
        </w:rPr>
        <w:t>d</w:t>
      </w:r>
      <w:r>
        <w:t>). SCMER clearly preserves the manifold better.</w:t>
      </w:r>
    </w:p>
    <w:p w14:paraId="6A472D61" w14:textId="0790E7EE" w:rsidR="006B62AD" w:rsidRPr="00D97EFD" w:rsidRDefault="007F349F" w:rsidP="007F349F">
      <w:pPr>
        <w:pStyle w:val="Heading1"/>
      </w:pPr>
      <w:r>
        <w:t>References</w:t>
      </w:r>
    </w:p>
    <w:p w14:paraId="5D92667D" w14:textId="77777777" w:rsidR="003F2504" w:rsidRPr="003F2504" w:rsidRDefault="007F349F" w:rsidP="00AA228E">
      <w:r>
        <w:fldChar w:fldCharType="begin"/>
      </w:r>
      <w:r w:rsidR="003F2504">
        <w:instrText xml:space="preserve"> ADDIN ZOTERO_BIBL {"uncited":[],"omitted":[],"custom":[]} CSL_BIBLIOGRAPHY </w:instrText>
      </w:r>
      <w:r>
        <w:fldChar w:fldCharType="separate"/>
      </w:r>
      <w:r w:rsidR="003F2504" w:rsidRPr="003F2504">
        <w:t>1.</w:t>
      </w:r>
      <w:r w:rsidR="003F2504" w:rsidRPr="003F2504">
        <w:tab/>
        <w:t xml:space="preserve">Kinker, G. S. </w:t>
      </w:r>
      <w:r w:rsidR="003F2504" w:rsidRPr="003F2504">
        <w:rPr>
          <w:i/>
          <w:iCs/>
        </w:rPr>
        <w:t>et al.</w:t>
      </w:r>
      <w:r w:rsidR="003F2504" w:rsidRPr="003F2504">
        <w:t xml:space="preserve"> Pan-cancer single-cell RNA-seq identifies recurring programs of cellular heterogeneity. </w:t>
      </w:r>
      <w:r w:rsidR="003F2504" w:rsidRPr="003F2504">
        <w:rPr>
          <w:i/>
          <w:iCs/>
        </w:rPr>
        <w:t>Nature Genetics</w:t>
      </w:r>
      <w:r w:rsidR="003F2504" w:rsidRPr="003F2504">
        <w:t xml:space="preserve"> </w:t>
      </w:r>
      <w:r w:rsidR="003F2504" w:rsidRPr="003F2504">
        <w:rPr>
          <w:b/>
          <w:bCs/>
        </w:rPr>
        <w:t>52</w:t>
      </w:r>
      <w:r w:rsidR="003F2504" w:rsidRPr="003F2504">
        <w:t>, 1208–1218 (2020).</w:t>
      </w:r>
    </w:p>
    <w:p w14:paraId="5472A07A" w14:textId="6297815F" w:rsidR="003F2504" w:rsidRPr="003F2504" w:rsidRDefault="003F2504" w:rsidP="00AA228E">
      <w:r w:rsidRPr="003F2504">
        <w:t>2.</w:t>
      </w:r>
      <w:r w:rsidRPr="003F2504">
        <w:tab/>
        <w:t xml:space="preserve">Hansen, A. </w:t>
      </w:r>
      <w:r w:rsidRPr="003F2504">
        <w:rPr>
          <w:i/>
          <w:iCs/>
        </w:rPr>
        <w:t>et al.</w:t>
      </w:r>
      <w:r w:rsidRPr="003F2504">
        <w:t xml:space="preserve"> KSHV-encoded miRNAs target MAF to induce endothelial cell reprogramming. </w:t>
      </w:r>
      <w:r w:rsidRPr="003F2504">
        <w:rPr>
          <w:i/>
          <w:iCs/>
        </w:rPr>
        <w:t>Genes Dev.</w:t>
      </w:r>
      <w:r w:rsidRPr="003F2504">
        <w:t xml:space="preserve"> </w:t>
      </w:r>
      <w:r w:rsidRPr="003F2504">
        <w:rPr>
          <w:b/>
          <w:bCs/>
        </w:rPr>
        <w:t>24</w:t>
      </w:r>
      <w:r w:rsidRPr="003F2504">
        <w:t>, 195–205 (2010).</w:t>
      </w:r>
    </w:p>
    <w:p w14:paraId="4C8344B5" w14:textId="77777777" w:rsidR="003F2504" w:rsidRPr="003F2504" w:rsidRDefault="003F2504" w:rsidP="00AA228E">
      <w:r w:rsidRPr="003F2504">
        <w:t>3.</w:t>
      </w:r>
      <w:r w:rsidRPr="003F2504">
        <w:tab/>
        <w:t xml:space="preserve">Collin, M. &amp; Bigley, V. Human dendritic cell subsets: an </w:t>
      </w:r>
      <w:bookmarkStart w:id="3" w:name="_GoBack"/>
      <w:bookmarkEnd w:id="3"/>
      <w:r w:rsidRPr="003F2504">
        <w:t xml:space="preserve">update. </w:t>
      </w:r>
      <w:r w:rsidRPr="003F2504">
        <w:rPr>
          <w:i/>
          <w:iCs/>
        </w:rPr>
        <w:t>Immunology</w:t>
      </w:r>
      <w:r w:rsidRPr="003F2504">
        <w:t xml:space="preserve"> </w:t>
      </w:r>
      <w:r w:rsidRPr="003F2504">
        <w:rPr>
          <w:b/>
          <w:bCs/>
        </w:rPr>
        <w:t>154</w:t>
      </w:r>
      <w:r w:rsidRPr="003F2504">
        <w:t>, 3–20 (2018).</w:t>
      </w:r>
    </w:p>
    <w:p w14:paraId="62EFAC2B" w14:textId="77777777" w:rsidR="003F2504" w:rsidRPr="003F2504" w:rsidRDefault="003F2504" w:rsidP="00AA228E">
      <w:r w:rsidRPr="003F2504">
        <w:t>4.</w:t>
      </w:r>
      <w:r w:rsidRPr="003F2504">
        <w:tab/>
        <w:t xml:space="preserve">Spits, H., Couwenberg, F., Bakker, A. Q., Weijer, K. &amp; Uittenbogaart, C. H. Id2 and Id3 Inhibit Development of Cd34+ Stem Cells into Predendritic Cell (Pre-Dc)2 but Not into Pre-Dc1Evidence for a Lymphoid Origin of Pre-Dc2. </w:t>
      </w:r>
      <w:r w:rsidRPr="003F2504">
        <w:rPr>
          <w:i/>
          <w:iCs/>
        </w:rPr>
        <w:t>J Exp Med</w:t>
      </w:r>
      <w:r w:rsidRPr="003F2504">
        <w:t xml:space="preserve"> </w:t>
      </w:r>
      <w:r w:rsidRPr="003F2504">
        <w:rPr>
          <w:b/>
          <w:bCs/>
        </w:rPr>
        <w:t>192</w:t>
      </w:r>
      <w:r w:rsidRPr="003F2504">
        <w:t>, 1775–1784 (2000).</w:t>
      </w:r>
    </w:p>
    <w:p w14:paraId="1FACD45A" w14:textId="77777777" w:rsidR="003F2504" w:rsidRPr="003F2504" w:rsidRDefault="003F2504" w:rsidP="00AA228E">
      <w:r w:rsidRPr="003F2504">
        <w:t>5.</w:t>
      </w:r>
      <w:r w:rsidRPr="003F2504">
        <w:tab/>
        <w:t xml:space="preserve">Vogel, C. &amp; Marcotte, E. M. Insights into the regulation of protein abundance from proteomic and transcriptomic analyses. </w:t>
      </w:r>
      <w:r w:rsidRPr="003F2504">
        <w:rPr>
          <w:i/>
          <w:iCs/>
        </w:rPr>
        <w:t>Nature Reviews Genetics</w:t>
      </w:r>
      <w:r w:rsidRPr="003F2504">
        <w:t xml:space="preserve"> </w:t>
      </w:r>
      <w:r w:rsidRPr="003F2504">
        <w:rPr>
          <w:b/>
          <w:bCs/>
        </w:rPr>
        <w:t>13</w:t>
      </w:r>
      <w:r w:rsidRPr="003F2504">
        <w:t>, 227–232 (2012).</w:t>
      </w:r>
    </w:p>
    <w:p w14:paraId="445B354C" w14:textId="77777777" w:rsidR="003F2504" w:rsidRPr="003F2504" w:rsidRDefault="003F2504" w:rsidP="00AA228E">
      <w:r w:rsidRPr="003F2504">
        <w:t>6.</w:t>
      </w:r>
      <w:r w:rsidRPr="003F2504">
        <w:tab/>
        <w:t xml:space="preserve">Stoeckius, M. </w:t>
      </w:r>
      <w:r w:rsidRPr="003F2504">
        <w:rPr>
          <w:i/>
          <w:iCs/>
        </w:rPr>
        <w:t>et al.</w:t>
      </w:r>
      <w:r w:rsidRPr="003F2504">
        <w:t xml:space="preserve"> Simultaneous epitope and transcriptome measurement in single cells. </w:t>
      </w:r>
      <w:r w:rsidRPr="003F2504">
        <w:rPr>
          <w:i/>
          <w:iCs/>
        </w:rPr>
        <w:t>Nature Methods</w:t>
      </w:r>
      <w:r w:rsidRPr="003F2504">
        <w:t xml:space="preserve"> </w:t>
      </w:r>
      <w:r w:rsidRPr="003F2504">
        <w:rPr>
          <w:b/>
          <w:bCs/>
        </w:rPr>
        <w:t>14</w:t>
      </w:r>
      <w:r w:rsidRPr="003F2504">
        <w:t>, 865–868 (2017).</w:t>
      </w:r>
    </w:p>
    <w:p w14:paraId="7A186BB7" w14:textId="77777777" w:rsidR="003F2504" w:rsidRPr="003F2504" w:rsidRDefault="003F2504" w:rsidP="00AA228E">
      <w:r w:rsidRPr="003F2504">
        <w:t>7.</w:t>
      </w:r>
      <w:r w:rsidRPr="003F2504">
        <w:tab/>
        <w:t xml:space="preserve">Levine, J. H. </w:t>
      </w:r>
      <w:r w:rsidRPr="003F2504">
        <w:rPr>
          <w:i/>
          <w:iCs/>
        </w:rPr>
        <w:t>et al.</w:t>
      </w:r>
      <w:r w:rsidRPr="003F2504">
        <w:t xml:space="preserve"> Data-Driven Phenotypic Dissection of AML Reveals Progenitor-like Cells that Correlate with Prognosis. </w:t>
      </w:r>
      <w:r w:rsidRPr="003F2504">
        <w:rPr>
          <w:i/>
          <w:iCs/>
        </w:rPr>
        <w:t>Cell</w:t>
      </w:r>
      <w:r w:rsidRPr="003F2504">
        <w:t xml:space="preserve"> </w:t>
      </w:r>
      <w:r w:rsidRPr="003F2504">
        <w:rPr>
          <w:b/>
          <w:bCs/>
        </w:rPr>
        <w:t>162</w:t>
      </w:r>
      <w:r w:rsidRPr="003F2504">
        <w:t>, 184–197 (2015).</w:t>
      </w:r>
    </w:p>
    <w:p w14:paraId="0CF5B49C" w14:textId="15E933C9" w:rsidR="00C053FB" w:rsidRDefault="007F349F" w:rsidP="00AA228E">
      <w:r>
        <w:fldChar w:fldCharType="end"/>
      </w:r>
    </w:p>
    <w:sectPr w:rsidR="00C053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2775B"/>
    <w:multiLevelType w:val="multilevel"/>
    <w:tmpl w:val="E99494E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D79"/>
    <w:rsid w:val="00040455"/>
    <w:rsid w:val="0005586E"/>
    <w:rsid w:val="001059EE"/>
    <w:rsid w:val="001412F4"/>
    <w:rsid w:val="00190794"/>
    <w:rsid w:val="001C4CFA"/>
    <w:rsid w:val="00215131"/>
    <w:rsid w:val="00256B99"/>
    <w:rsid w:val="002A6B22"/>
    <w:rsid w:val="002B4B3A"/>
    <w:rsid w:val="002E704C"/>
    <w:rsid w:val="002F69D5"/>
    <w:rsid w:val="002F7D79"/>
    <w:rsid w:val="00320216"/>
    <w:rsid w:val="003A5FD3"/>
    <w:rsid w:val="003B6AA8"/>
    <w:rsid w:val="003F2504"/>
    <w:rsid w:val="003F3199"/>
    <w:rsid w:val="004723CC"/>
    <w:rsid w:val="004C73E1"/>
    <w:rsid w:val="00523619"/>
    <w:rsid w:val="00556A6C"/>
    <w:rsid w:val="00557710"/>
    <w:rsid w:val="0056183F"/>
    <w:rsid w:val="00570C0D"/>
    <w:rsid w:val="00595945"/>
    <w:rsid w:val="005A232A"/>
    <w:rsid w:val="005E5F82"/>
    <w:rsid w:val="006208D5"/>
    <w:rsid w:val="00674CDE"/>
    <w:rsid w:val="006B1ABF"/>
    <w:rsid w:val="006B211B"/>
    <w:rsid w:val="006B62AD"/>
    <w:rsid w:val="006D0A7E"/>
    <w:rsid w:val="007A6B06"/>
    <w:rsid w:val="007B6C67"/>
    <w:rsid w:val="007F349F"/>
    <w:rsid w:val="00806DFF"/>
    <w:rsid w:val="008207E2"/>
    <w:rsid w:val="00862BB7"/>
    <w:rsid w:val="00873ACD"/>
    <w:rsid w:val="008818DC"/>
    <w:rsid w:val="008D5D8B"/>
    <w:rsid w:val="00913F84"/>
    <w:rsid w:val="00914154"/>
    <w:rsid w:val="0098356E"/>
    <w:rsid w:val="00983A8B"/>
    <w:rsid w:val="009A3272"/>
    <w:rsid w:val="009C06B3"/>
    <w:rsid w:val="00A24688"/>
    <w:rsid w:val="00AA228E"/>
    <w:rsid w:val="00AC424D"/>
    <w:rsid w:val="00AE0C93"/>
    <w:rsid w:val="00AE59F7"/>
    <w:rsid w:val="00B23487"/>
    <w:rsid w:val="00B409FF"/>
    <w:rsid w:val="00C053FB"/>
    <w:rsid w:val="00C05DDD"/>
    <w:rsid w:val="00C53B0F"/>
    <w:rsid w:val="00C874D0"/>
    <w:rsid w:val="00CF0FA7"/>
    <w:rsid w:val="00D273C8"/>
    <w:rsid w:val="00D854B0"/>
    <w:rsid w:val="00DA367F"/>
    <w:rsid w:val="00DD2009"/>
    <w:rsid w:val="00DD2F8F"/>
    <w:rsid w:val="00DF4D2D"/>
    <w:rsid w:val="00E30FB6"/>
    <w:rsid w:val="00E3652E"/>
    <w:rsid w:val="00E42192"/>
    <w:rsid w:val="00EB55E0"/>
    <w:rsid w:val="00F34682"/>
    <w:rsid w:val="00F35C75"/>
    <w:rsid w:val="00F44E42"/>
    <w:rsid w:val="00F65E17"/>
    <w:rsid w:val="00F91193"/>
    <w:rsid w:val="00F91372"/>
    <w:rsid w:val="00FA63B1"/>
    <w:rsid w:val="00FF7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F9EBF"/>
  <w15:chartTrackingRefBased/>
  <w15:docId w15:val="{0AAF3FA1-6F72-4861-B657-D897D8262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A228E"/>
    <w:pPr>
      <w:spacing w:line="480" w:lineRule="auto"/>
    </w:pPr>
    <w:rPr>
      <w:rFonts w:ascii="Times New Roman" w:hAnsi="Times New Roman"/>
    </w:rPr>
  </w:style>
  <w:style w:type="paragraph" w:styleId="Heading1">
    <w:name w:val="heading 1"/>
    <w:basedOn w:val="Normal"/>
    <w:next w:val="Normal"/>
    <w:link w:val="Heading1Char"/>
    <w:uiPriority w:val="9"/>
    <w:qFormat/>
    <w:rsid w:val="00C053FB"/>
    <w:pPr>
      <w:keepNext/>
      <w:keepLines/>
      <w:numPr>
        <w:numId w:val="1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unhideWhenUsed/>
    <w:qFormat/>
    <w:rsid w:val="00C053FB"/>
    <w:pPr>
      <w:keepNext/>
      <w:keepLines/>
      <w:numPr>
        <w:ilvl w:val="1"/>
        <w:numId w:val="10"/>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unhideWhenUsed/>
    <w:qFormat/>
    <w:rsid w:val="00C053FB"/>
    <w:pPr>
      <w:keepNext/>
      <w:keepLines/>
      <w:numPr>
        <w:ilvl w:val="2"/>
        <w:numId w:val="10"/>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unhideWhenUsed/>
    <w:qFormat/>
    <w:rsid w:val="00C053FB"/>
    <w:pPr>
      <w:keepNext/>
      <w:keepLines/>
      <w:numPr>
        <w:ilvl w:val="3"/>
        <w:numId w:val="10"/>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C053FB"/>
    <w:pPr>
      <w:keepNext/>
      <w:keepLines/>
      <w:numPr>
        <w:ilvl w:val="4"/>
        <w:numId w:val="10"/>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C053FB"/>
    <w:pPr>
      <w:keepNext/>
      <w:keepLines/>
      <w:numPr>
        <w:ilvl w:val="5"/>
        <w:numId w:val="10"/>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C053FB"/>
    <w:pPr>
      <w:keepNext/>
      <w:keepLines/>
      <w:numPr>
        <w:ilvl w:val="6"/>
        <w:numId w:val="10"/>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053FB"/>
    <w:pPr>
      <w:keepNext/>
      <w:keepLines/>
      <w:numPr>
        <w:ilvl w:val="7"/>
        <w:numId w:val="10"/>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053FB"/>
    <w:pPr>
      <w:keepNext/>
      <w:keepLines/>
      <w:numPr>
        <w:ilvl w:val="8"/>
        <w:numId w:val="1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65E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5E17"/>
    <w:rPr>
      <w:rFonts w:ascii="Segoe UI" w:hAnsi="Segoe UI" w:cs="Segoe UI"/>
      <w:sz w:val="18"/>
      <w:szCs w:val="18"/>
    </w:rPr>
  </w:style>
  <w:style w:type="table" w:styleId="TableGrid">
    <w:name w:val="Table Grid"/>
    <w:basedOn w:val="TableNormal"/>
    <w:uiPriority w:val="39"/>
    <w:rsid w:val="008D5D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C053FB"/>
    <w:rPr>
      <w:i/>
      <w:iCs/>
      <w:color w:val="auto"/>
    </w:rPr>
  </w:style>
  <w:style w:type="character" w:customStyle="1" w:styleId="Heading1Char">
    <w:name w:val="Heading 1 Char"/>
    <w:basedOn w:val="DefaultParagraphFont"/>
    <w:link w:val="Heading1"/>
    <w:uiPriority w:val="9"/>
    <w:rsid w:val="00C053FB"/>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rsid w:val="00C053FB"/>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rsid w:val="00C053FB"/>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sid w:val="00C053FB"/>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C053FB"/>
    <w:rPr>
      <w:rFonts w:asciiTheme="majorHAnsi" w:eastAsiaTheme="majorEastAsia" w:hAnsiTheme="majorHAnsi" w:cstheme="majorBidi"/>
      <w:color w:val="323E4F" w:themeColor="text2" w:themeShade="BF"/>
    </w:rPr>
  </w:style>
  <w:style w:type="character" w:customStyle="1" w:styleId="Heading6Char">
    <w:name w:val="Heading 6 Char"/>
    <w:basedOn w:val="DefaultParagraphFont"/>
    <w:link w:val="Heading6"/>
    <w:uiPriority w:val="9"/>
    <w:semiHidden/>
    <w:rsid w:val="00C053FB"/>
    <w:rPr>
      <w:rFonts w:asciiTheme="majorHAnsi" w:eastAsiaTheme="majorEastAsia" w:hAnsiTheme="majorHAnsi" w:cstheme="majorBidi"/>
      <w:i/>
      <w:iCs/>
      <w:color w:val="323E4F" w:themeColor="text2" w:themeShade="BF"/>
    </w:rPr>
  </w:style>
  <w:style w:type="character" w:customStyle="1" w:styleId="Heading7Char">
    <w:name w:val="Heading 7 Char"/>
    <w:basedOn w:val="DefaultParagraphFont"/>
    <w:link w:val="Heading7"/>
    <w:uiPriority w:val="9"/>
    <w:semiHidden/>
    <w:rsid w:val="00C053FB"/>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C053FB"/>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C053FB"/>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C053FB"/>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C053FB"/>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C053FB"/>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C053FB"/>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C053FB"/>
    <w:rPr>
      <w:color w:val="5A5A5A" w:themeColor="text1" w:themeTint="A5"/>
      <w:spacing w:val="10"/>
    </w:rPr>
  </w:style>
  <w:style w:type="character" w:styleId="Strong">
    <w:name w:val="Strong"/>
    <w:basedOn w:val="DefaultParagraphFont"/>
    <w:uiPriority w:val="22"/>
    <w:qFormat/>
    <w:rsid w:val="00C053FB"/>
    <w:rPr>
      <w:b/>
      <w:bCs/>
      <w:color w:val="000000" w:themeColor="text1"/>
    </w:rPr>
  </w:style>
  <w:style w:type="paragraph" w:styleId="NoSpacing">
    <w:name w:val="No Spacing"/>
    <w:uiPriority w:val="1"/>
    <w:qFormat/>
    <w:rsid w:val="00C053FB"/>
    <w:pPr>
      <w:spacing w:after="0" w:line="240" w:lineRule="auto"/>
    </w:pPr>
  </w:style>
  <w:style w:type="paragraph" w:styleId="Quote">
    <w:name w:val="Quote"/>
    <w:basedOn w:val="Normal"/>
    <w:next w:val="Normal"/>
    <w:link w:val="QuoteChar"/>
    <w:uiPriority w:val="29"/>
    <w:qFormat/>
    <w:rsid w:val="00C053FB"/>
    <w:pPr>
      <w:spacing w:before="160"/>
      <w:ind w:left="720" w:right="720"/>
    </w:pPr>
    <w:rPr>
      <w:i/>
      <w:iCs/>
      <w:color w:val="000000" w:themeColor="text1"/>
    </w:rPr>
  </w:style>
  <w:style w:type="character" w:customStyle="1" w:styleId="QuoteChar">
    <w:name w:val="Quote Char"/>
    <w:basedOn w:val="DefaultParagraphFont"/>
    <w:link w:val="Quote"/>
    <w:uiPriority w:val="29"/>
    <w:rsid w:val="00C053FB"/>
    <w:rPr>
      <w:i/>
      <w:iCs/>
      <w:color w:val="000000" w:themeColor="text1"/>
    </w:rPr>
  </w:style>
  <w:style w:type="paragraph" w:styleId="IntenseQuote">
    <w:name w:val="Intense Quote"/>
    <w:basedOn w:val="Normal"/>
    <w:next w:val="Normal"/>
    <w:link w:val="IntenseQuoteChar"/>
    <w:uiPriority w:val="30"/>
    <w:qFormat/>
    <w:rsid w:val="00C053FB"/>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C053FB"/>
    <w:rPr>
      <w:color w:val="000000" w:themeColor="text1"/>
      <w:shd w:val="clear" w:color="auto" w:fill="F2F2F2" w:themeFill="background1" w:themeFillShade="F2"/>
    </w:rPr>
  </w:style>
  <w:style w:type="character" w:styleId="SubtleEmphasis">
    <w:name w:val="Subtle Emphasis"/>
    <w:basedOn w:val="DefaultParagraphFont"/>
    <w:uiPriority w:val="19"/>
    <w:qFormat/>
    <w:rsid w:val="00C053FB"/>
    <w:rPr>
      <w:i/>
      <w:iCs/>
      <w:color w:val="404040" w:themeColor="text1" w:themeTint="BF"/>
    </w:rPr>
  </w:style>
  <w:style w:type="character" w:styleId="IntenseEmphasis">
    <w:name w:val="Intense Emphasis"/>
    <w:basedOn w:val="DefaultParagraphFont"/>
    <w:uiPriority w:val="21"/>
    <w:qFormat/>
    <w:rsid w:val="00C053FB"/>
    <w:rPr>
      <w:b/>
      <w:bCs/>
      <w:i/>
      <w:iCs/>
      <w:caps/>
    </w:rPr>
  </w:style>
  <w:style w:type="character" w:styleId="SubtleReference">
    <w:name w:val="Subtle Reference"/>
    <w:basedOn w:val="DefaultParagraphFont"/>
    <w:uiPriority w:val="31"/>
    <w:qFormat/>
    <w:rsid w:val="00C053F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C053FB"/>
    <w:rPr>
      <w:b/>
      <w:bCs/>
      <w:smallCaps/>
      <w:u w:val="single"/>
    </w:rPr>
  </w:style>
  <w:style w:type="character" w:styleId="BookTitle">
    <w:name w:val="Book Title"/>
    <w:basedOn w:val="DefaultParagraphFont"/>
    <w:uiPriority w:val="33"/>
    <w:qFormat/>
    <w:rsid w:val="00C053FB"/>
    <w:rPr>
      <w:b w:val="0"/>
      <w:bCs w:val="0"/>
      <w:smallCaps/>
      <w:spacing w:val="5"/>
    </w:rPr>
  </w:style>
  <w:style w:type="paragraph" w:styleId="TOCHeading">
    <w:name w:val="TOC Heading"/>
    <w:basedOn w:val="Heading1"/>
    <w:next w:val="Normal"/>
    <w:uiPriority w:val="39"/>
    <w:semiHidden/>
    <w:unhideWhenUsed/>
    <w:qFormat/>
    <w:rsid w:val="00C053FB"/>
    <w:pPr>
      <w:outlineLvl w:val="9"/>
    </w:pPr>
  </w:style>
  <w:style w:type="character" w:styleId="PlaceholderText">
    <w:name w:val="Placeholder Text"/>
    <w:basedOn w:val="DefaultParagraphFont"/>
    <w:uiPriority w:val="99"/>
    <w:semiHidden/>
    <w:rsid w:val="00C053FB"/>
    <w:rPr>
      <w:color w:val="808080"/>
    </w:rPr>
  </w:style>
  <w:style w:type="character" w:styleId="CommentReference">
    <w:name w:val="annotation reference"/>
    <w:basedOn w:val="DefaultParagraphFont"/>
    <w:uiPriority w:val="99"/>
    <w:semiHidden/>
    <w:unhideWhenUsed/>
    <w:rsid w:val="005E5F82"/>
    <w:rPr>
      <w:sz w:val="16"/>
      <w:szCs w:val="16"/>
    </w:rPr>
  </w:style>
  <w:style w:type="paragraph" w:styleId="CommentText">
    <w:name w:val="annotation text"/>
    <w:basedOn w:val="Normal"/>
    <w:link w:val="CommentTextChar"/>
    <w:uiPriority w:val="99"/>
    <w:unhideWhenUsed/>
    <w:rsid w:val="005E5F82"/>
    <w:pPr>
      <w:spacing w:line="240" w:lineRule="auto"/>
    </w:pPr>
    <w:rPr>
      <w:sz w:val="20"/>
      <w:szCs w:val="20"/>
    </w:rPr>
  </w:style>
  <w:style w:type="character" w:customStyle="1" w:styleId="CommentTextChar">
    <w:name w:val="Comment Text Char"/>
    <w:basedOn w:val="DefaultParagraphFont"/>
    <w:link w:val="CommentText"/>
    <w:uiPriority w:val="99"/>
    <w:rsid w:val="005E5F82"/>
    <w:rPr>
      <w:sz w:val="20"/>
      <w:szCs w:val="20"/>
    </w:rPr>
  </w:style>
  <w:style w:type="paragraph" w:styleId="Bibliography">
    <w:name w:val="Bibliography"/>
    <w:basedOn w:val="Normal"/>
    <w:next w:val="Normal"/>
    <w:uiPriority w:val="37"/>
    <w:unhideWhenUsed/>
    <w:rsid w:val="007F349F"/>
    <w:pPr>
      <w:tabs>
        <w:tab w:val="left" w:pos="264"/>
      </w:tabs>
      <w:spacing w:after="0"/>
      <w:ind w:left="264" w:hanging="26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4280265">
      <w:bodyDiv w:val="1"/>
      <w:marLeft w:val="0"/>
      <w:marRight w:val="0"/>
      <w:marTop w:val="0"/>
      <w:marBottom w:val="0"/>
      <w:divBdr>
        <w:top w:val="none" w:sz="0" w:space="0" w:color="auto"/>
        <w:left w:val="none" w:sz="0" w:space="0" w:color="auto"/>
        <w:bottom w:val="none" w:sz="0" w:space="0" w:color="auto"/>
        <w:right w:val="none" w:sz="0" w:space="0" w:color="auto"/>
      </w:divBdr>
    </w:div>
    <w:div w:id="1521310697">
      <w:bodyDiv w:val="1"/>
      <w:marLeft w:val="0"/>
      <w:marRight w:val="0"/>
      <w:marTop w:val="0"/>
      <w:marBottom w:val="0"/>
      <w:divBdr>
        <w:top w:val="none" w:sz="0" w:space="0" w:color="auto"/>
        <w:left w:val="none" w:sz="0" w:space="0" w:color="auto"/>
        <w:bottom w:val="none" w:sz="0" w:space="0" w:color="auto"/>
        <w:right w:val="none" w:sz="0" w:space="0" w:color="auto"/>
      </w:divBdr>
    </w:div>
    <w:div w:id="1775054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E3624B-14D9-4FD3-8189-4D12AC294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7</Pages>
  <Words>3758</Words>
  <Characters>21423</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M.D. Anderson Cancer Center</Company>
  <LinksUpToDate>false</LinksUpToDate>
  <CharactersWithSpaces>25131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Liang,Shaoheng</dc:creator>
  <cp:keywords/>
  <dc:description/>
  <cp:lastModifiedBy>Liang,Shaoheng</cp:lastModifiedBy>
  <cp:revision>14</cp:revision>
  <dcterms:created xsi:type="dcterms:W3CDTF">2020-11-23T04:01:00Z</dcterms:created>
  <dcterms:modified xsi:type="dcterms:W3CDTF">2020-12-01T23:44:00Z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zotero-version="5.0.92"&gt;&lt;session id="uO3tMq7C"/&gt;&lt;style id="http://www.zotero.org/styles/nature-methods" hasBibliography="1" bibliographyStyleHasBeenSet="1"/&gt;&lt;prefs&gt;&lt;pref name="fieldType" value="Field"/&gt;&lt;/prefs&gt;&lt;/data&gt;</vt:lpwstr>
  </property>
</Properties>
</file>