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AA7" w:rsidRDefault="00297AA7" w:rsidP="00297AA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Supporting materials</w:t>
      </w:r>
    </w:p>
    <w:p w:rsidR="00297AA7" w:rsidRDefault="00297AA7" w:rsidP="00297AA7">
      <w:pPr>
        <w:rPr>
          <w:rFonts w:ascii="Times New Roman" w:hAnsi="Times New Roman" w:cs="Times New Roman"/>
        </w:rPr>
      </w:pPr>
    </w:p>
    <w:p w:rsidR="00297AA7" w:rsidRDefault="00297AA7" w:rsidP="00297AA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US"/>
        </w:rPr>
        <w:drawing>
          <wp:inline distT="0" distB="0" distL="0" distR="0">
            <wp:extent cx="1419225" cy="7715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AA7" w:rsidRDefault="00297AA7" w:rsidP="00297AA7">
      <w:pPr>
        <w:rPr>
          <w:rFonts w:ascii="Times New Roman" w:hAnsi="Times New Roman" w:cs="Times New Roman"/>
        </w:rPr>
      </w:pPr>
    </w:p>
    <w:p w:rsidR="00297AA7" w:rsidRDefault="00297AA7" w:rsidP="00297AA7">
      <w:pPr>
        <w:rPr>
          <w:rFonts w:ascii="Times New Roman" w:hAnsi="Times New Roman" w:cs="Times New Roman"/>
        </w:rPr>
      </w:pPr>
    </w:p>
    <w:p w:rsidR="00297AA7" w:rsidRDefault="00297AA7" w:rsidP="00297AA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Fig. S1 The optical images of CD-PEI under white light and UV light</w:t>
      </w:r>
    </w:p>
    <w:p w:rsidR="00297AA7" w:rsidRDefault="00297AA7" w:rsidP="00297AA7">
      <w:pPr>
        <w:rPr>
          <w:rFonts w:ascii="Times New Roman" w:hAnsi="Times New Roman" w:cs="Times New Roman"/>
        </w:rPr>
      </w:pPr>
    </w:p>
    <w:p w:rsidR="00297AA7" w:rsidRDefault="00297AA7" w:rsidP="00297A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US"/>
        </w:rPr>
        <w:drawing>
          <wp:inline distT="0" distB="0" distL="0" distR="0">
            <wp:extent cx="5276850" cy="36861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AA7" w:rsidRDefault="00297AA7" w:rsidP="00297AA7">
      <w:pPr>
        <w:jc w:val="center"/>
        <w:rPr>
          <w:noProof/>
        </w:rPr>
      </w:pPr>
    </w:p>
    <w:p w:rsidR="00297AA7" w:rsidRDefault="00297AA7" w:rsidP="00297AA7">
      <w:pPr>
        <w:jc w:val="center"/>
        <w:rPr>
          <w:rFonts w:ascii="Times New Roman" w:hAnsi="Times New Roman" w:cs="Times New Roman"/>
        </w:rPr>
      </w:pPr>
    </w:p>
    <w:p w:rsidR="00297AA7" w:rsidRDefault="00297AA7" w:rsidP="00297AA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Fig. S2 The FTIR spectrum of PEI.</w:t>
      </w:r>
    </w:p>
    <w:p w:rsidR="00297AA7" w:rsidRDefault="00297AA7" w:rsidP="00297AA7">
      <w:pPr>
        <w:rPr>
          <w:rFonts w:ascii="Times New Roman" w:hAnsi="Times New Roman" w:cs="Times New Roman"/>
        </w:rPr>
      </w:pPr>
    </w:p>
    <w:p w:rsidR="00297AA7" w:rsidRDefault="00297AA7" w:rsidP="00297AA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>
            <wp:extent cx="3981450" cy="25050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AA7" w:rsidRDefault="00297AA7" w:rsidP="00297AA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Fig. S3 The cell viability of A549, A549/ADM, L02 incubation with CD-PEI for 48 hours.</w:t>
      </w:r>
    </w:p>
    <w:p w:rsidR="00297AA7" w:rsidRDefault="00297AA7" w:rsidP="00297AA7">
      <w:pPr>
        <w:rPr>
          <w:rFonts w:ascii="Times New Roman" w:hAnsi="Times New Roman" w:cs="Times New Roman"/>
        </w:rPr>
      </w:pPr>
    </w:p>
    <w:p w:rsidR="00297AA7" w:rsidRDefault="00297AA7" w:rsidP="00297A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US"/>
        </w:rPr>
        <w:drawing>
          <wp:inline distT="0" distB="0" distL="0" distR="0">
            <wp:extent cx="5267325" cy="36766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AA7" w:rsidRDefault="00297AA7" w:rsidP="00297A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Fig. S4 The PL spectrum of CD-PEI-DOX-siMRP1 under excitation from 250 nm to 310 nm.</w:t>
      </w:r>
    </w:p>
    <w:p w:rsidR="00297AA7" w:rsidRDefault="00297AA7" w:rsidP="00297AA7">
      <w:pPr>
        <w:rPr>
          <w:rFonts w:ascii="Times New Roman" w:hAnsi="Times New Roman" w:cs="Times New Roman"/>
        </w:rPr>
      </w:pPr>
    </w:p>
    <w:p w:rsidR="00297AA7" w:rsidRDefault="00297AA7" w:rsidP="00297AA7">
      <w:pPr>
        <w:jc w:val="center"/>
        <w:rPr>
          <w:rFonts w:ascii="Times New Roman" w:hAnsi="Times New Roman" w:cs="Times New Roman"/>
        </w:rPr>
      </w:pPr>
      <w:r>
        <w:rPr>
          <w:noProof/>
          <w:lang w:eastAsia="en-US"/>
        </w:rPr>
        <w:lastRenderedPageBreak/>
        <w:drawing>
          <wp:inline distT="0" distB="0" distL="0" distR="0">
            <wp:extent cx="2533650" cy="27908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AA7" w:rsidRDefault="00297AA7" w:rsidP="00297AA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Fig. S5 The Zeta potential of different groups.</w:t>
      </w:r>
    </w:p>
    <w:p w:rsidR="00297AA7" w:rsidRDefault="00297AA7" w:rsidP="00297AA7">
      <w:pPr>
        <w:rPr>
          <w:rFonts w:ascii="Times New Roman" w:hAnsi="Times New Roman" w:cs="Times New Roman"/>
        </w:rPr>
      </w:pPr>
    </w:p>
    <w:p w:rsidR="00297AA7" w:rsidRDefault="00297AA7" w:rsidP="00297AA7">
      <w:pPr>
        <w:rPr>
          <w:rFonts w:ascii="Times New Roman" w:hAnsi="Times New Roman" w:cs="Times New Roman"/>
        </w:rPr>
      </w:pPr>
    </w:p>
    <w:p w:rsidR="00297AA7" w:rsidRDefault="00297AA7" w:rsidP="00297AA7">
      <w:pPr>
        <w:rPr>
          <w:rFonts w:ascii="Times New Roman" w:hAnsi="Times New Roman" w:cs="Times New Roman"/>
        </w:rPr>
      </w:pPr>
    </w:p>
    <w:p w:rsidR="00297AA7" w:rsidRDefault="00297AA7" w:rsidP="00297AA7">
      <w:pPr>
        <w:rPr>
          <w:rFonts w:ascii="Times New Roman" w:hAnsi="Times New Roman" w:cs="Times New Roman"/>
        </w:rPr>
      </w:pPr>
    </w:p>
    <w:p w:rsidR="00297AA7" w:rsidRDefault="00297AA7" w:rsidP="00297AA7">
      <w:pPr>
        <w:rPr>
          <w:rFonts w:ascii="Times New Roman" w:hAnsi="Times New Roman" w:cs="Times New Roman"/>
        </w:rPr>
      </w:pPr>
    </w:p>
    <w:p w:rsidR="00297AA7" w:rsidRDefault="00297AA7" w:rsidP="00297AA7">
      <w:pPr>
        <w:rPr>
          <w:rFonts w:ascii="Times New Roman" w:hAnsi="Times New Roman" w:cs="Times New Roman"/>
        </w:rPr>
      </w:pPr>
    </w:p>
    <w:p w:rsidR="00297AA7" w:rsidRDefault="00297AA7" w:rsidP="00297AA7">
      <w:pPr>
        <w:rPr>
          <w:rFonts w:ascii="Times New Roman" w:hAnsi="Times New Roman" w:cs="Times New Roman"/>
        </w:rPr>
      </w:pPr>
    </w:p>
    <w:p w:rsidR="00297AA7" w:rsidRDefault="00297AA7" w:rsidP="00297AA7">
      <w:pPr>
        <w:rPr>
          <w:rFonts w:ascii="Times New Roman" w:hAnsi="Times New Roman" w:cs="Times New Roman"/>
        </w:rPr>
      </w:pPr>
    </w:p>
    <w:p w:rsidR="00297AA7" w:rsidRDefault="00297AA7" w:rsidP="00297AA7">
      <w:pPr>
        <w:rPr>
          <w:rFonts w:ascii="Times New Roman" w:hAnsi="Times New Roman" w:cs="Times New Roman"/>
        </w:rPr>
      </w:pPr>
    </w:p>
    <w:p w:rsidR="00297AA7" w:rsidRDefault="00297AA7" w:rsidP="00297AA7">
      <w:pPr>
        <w:rPr>
          <w:rFonts w:ascii="Times New Roman" w:hAnsi="Times New Roman" w:cs="Times New Roman"/>
        </w:rPr>
      </w:pPr>
    </w:p>
    <w:p w:rsidR="00297AA7" w:rsidRDefault="00297AA7" w:rsidP="00297AA7">
      <w:pPr>
        <w:rPr>
          <w:rFonts w:ascii="Times New Roman" w:hAnsi="Times New Roman" w:cs="Times New Roman"/>
        </w:rPr>
      </w:pPr>
    </w:p>
    <w:p w:rsidR="00297AA7" w:rsidRDefault="00297AA7" w:rsidP="00297AA7">
      <w:pPr>
        <w:jc w:val="center"/>
        <w:rPr>
          <w:rFonts w:ascii="Times New Roman" w:hAnsi="Times New Roman" w:cs="Times New Roman"/>
        </w:rPr>
      </w:pPr>
    </w:p>
    <w:p w:rsidR="00297AA7" w:rsidRDefault="00297AA7" w:rsidP="00297AA7">
      <w:pPr>
        <w:rPr>
          <w:rFonts w:ascii="Times New Roman" w:hAnsi="Times New Roman" w:cs="Times New Roman"/>
        </w:rPr>
      </w:pPr>
    </w:p>
    <w:p w:rsidR="00297AA7" w:rsidRDefault="00297AA7" w:rsidP="00297AA7"/>
    <w:p w:rsidR="00297AA7" w:rsidRDefault="00297AA7" w:rsidP="00297AA7"/>
    <w:p w:rsidR="00297AA7" w:rsidRDefault="00297AA7" w:rsidP="00297AA7"/>
    <w:p w:rsidR="00297AA7" w:rsidRDefault="00297AA7" w:rsidP="00297AA7"/>
    <w:p w:rsidR="00297AA7" w:rsidRDefault="00297AA7" w:rsidP="00297AA7"/>
    <w:p w:rsidR="00297AA7" w:rsidRDefault="00297AA7" w:rsidP="00297AA7"/>
    <w:p w:rsidR="00297AA7" w:rsidRDefault="00297AA7" w:rsidP="00297AA7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Table S1 Percentage of groups obtained from curve fitting the C1s and N1s peaks of </w:t>
      </w:r>
      <w:proofErr w:type="spellStart"/>
      <w:r>
        <w:rPr>
          <w:rFonts w:ascii="Times New Roman" w:hAnsi="Times New Roman"/>
          <w:sz w:val="24"/>
          <w:szCs w:val="24"/>
        </w:rPr>
        <w:t>nanodrug</w:t>
      </w:r>
      <w:proofErr w:type="spellEnd"/>
    </w:p>
    <w:tbl>
      <w:tblPr>
        <w:tblStyle w:val="TableGrid"/>
        <w:tblpPr w:leftFromText="180" w:rightFromText="180" w:vertAnchor="text" w:horzAnchor="margin" w:tblpY="38"/>
        <w:tblW w:w="9071" w:type="dxa"/>
        <w:tblInd w:w="0" w:type="dxa"/>
        <w:tblLook w:val="04A0" w:firstRow="1" w:lastRow="0" w:firstColumn="1" w:lastColumn="0" w:noHBand="0" w:noVBand="1"/>
      </w:tblPr>
      <w:tblGrid>
        <w:gridCol w:w="2055"/>
        <w:gridCol w:w="1100"/>
        <w:gridCol w:w="1202"/>
        <w:gridCol w:w="681"/>
        <w:gridCol w:w="1065"/>
        <w:gridCol w:w="990"/>
        <w:gridCol w:w="989"/>
        <w:gridCol w:w="989"/>
      </w:tblGrid>
      <w:tr w:rsidR="00297AA7" w:rsidTr="00297AA7">
        <w:trPr>
          <w:trHeight w:val="416"/>
        </w:trPr>
        <w:tc>
          <w:tcPr>
            <w:tcW w:w="2055" w:type="dxa"/>
            <w:tcBorders>
              <w:top w:val="single" w:sz="12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4048" w:type="dxa"/>
            <w:gridSpan w:val="4"/>
            <w:tcBorders>
              <w:top w:val="single" w:sz="12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C1s</w:t>
            </w:r>
          </w:p>
        </w:tc>
        <w:tc>
          <w:tcPr>
            <w:tcW w:w="2968" w:type="dxa"/>
            <w:gridSpan w:val="3"/>
            <w:tcBorders>
              <w:top w:val="single" w:sz="12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N1s</w:t>
            </w:r>
          </w:p>
        </w:tc>
      </w:tr>
      <w:tr w:rsidR="00297AA7" w:rsidTr="00297AA7">
        <w:trPr>
          <w:trHeight w:val="270"/>
        </w:trPr>
        <w:tc>
          <w:tcPr>
            <w:tcW w:w="205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single" w:sz="8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C-C/C=C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C-N/C-OH</w:t>
            </w:r>
          </w:p>
        </w:tc>
        <w:tc>
          <w:tcPr>
            <w:tcW w:w="68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C=O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O-C=O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C=C-N</w:t>
            </w:r>
          </w:p>
        </w:tc>
        <w:tc>
          <w:tcPr>
            <w:tcW w:w="9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N-(C)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N-H</w:t>
            </w:r>
          </w:p>
        </w:tc>
      </w:tr>
      <w:tr w:rsidR="00297AA7" w:rsidTr="00297AA7">
        <w:trPr>
          <w:trHeight w:val="415"/>
        </w:trPr>
        <w:tc>
          <w:tcPr>
            <w:tcW w:w="2055" w:type="dxa"/>
            <w:tcBorders>
              <w:top w:val="single" w:sz="12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DOX</w:t>
            </w:r>
          </w:p>
        </w:tc>
        <w:tc>
          <w:tcPr>
            <w:tcW w:w="1100" w:type="dxa"/>
            <w:tcBorders>
              <w:top w:val="single" w:sz="12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66.9%</w:t>
            </w:r>
          </w:p>
        </w:tc>
        <w:tc>
          <w:tcPr>
            <w:tcW w:w="120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11.1%</w:t>
            </w:r>
          </w:p>
        </w:tc>
        <w:tc>
          <w:tcPr>
            <w:tcW w:w="68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17.1%</w:t>
            </w:r>
          </w:p>
        </w:tc>
        <w:tc>
          <w:tcPr>
            <w:tcW w:w="1065" w:type="dxa"/>
            <w:tcBorders>
              <w:top w:val="single" w:sz="12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4.9%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56.1%</w:t>
            </w:r>
          </w:p>
        </w:tc>
        <w:tc>
          <w:tcPr>
            <w:tcW w:w="98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26.5%</w:t>
            </w:r>
          </w:p>
        </w:tc>
        <w:tc>
          <w:tcPr>
            <w:tcW w:w="98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17.4%</w:t>
            </w:r>
          </w:p>
        </w:tc>
      </w:tr>
      <w:tr w:rsidR="00297AA7" w:rsidTr="00297AA7">
        <w:trPr>
          <w:trHeight w:val="420"/>
        </w:trPr>
        <w:tc>
          <w:tcPr>
            <w:tcW w:w="205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PEI</w:t>
            </w:r>
          </w:p>
        </w:tc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79.2%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12.1%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4.5%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4.2%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48.8%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40.0%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11.2%</w:t>
            </w:r>
          </w:p>
        </w:tc>
      </w:tr>
      <w:tr w:rsidR="00297AA7" w:rsidTr="00297AA7">
        <w:trPr>
          <w:trHeight w:val="409"/>
        </w:trPr>
        <w:tc>
          <w:tcPr>
            <w:tcW w:w="205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CD-PEI</w:t>
            </w:r>
          </w:p>
        </w:tc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65.0%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28.4%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6.6%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69.8%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30.2%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 w:rsidR="00297AA7" w:rsidTr="00297AA7">
        <w:trPr>
          <w:trHeight w:val="420"/>
        </w:trPr>
        <w:tc>
          <w:tcPr>
            <w:tcW w:w="205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CD-PEI-DOX</w:t>
            </w:r>
          </w:p>
        </w:tc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45.5%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33.8%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12.8%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7.9%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65.7%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30.9%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3.4%</w:t>
            </w:r>
          </w:p>
        </w:tc>
      </w:tr>
      <w:tr w:rsidR="00297AA7" w:rsidTr="00297AA7">
        <w:trPr>
          <w:trHeight w:val="412"/>
        </w:trPr>
        <w:tc>
          <w:tcPr>
            <w:tcW w:w="205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CD-PEI-DOX-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siNC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63.9%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28.0%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3.3%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4.8%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74.0%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26.0%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</w:tr>
      <w:tr w:rsidR="00297AA7" w:rsidTr="00297AA7">
        <w:trPr>
          <w:trHeight w:val="418"/>
        </w:trPr>
        <w:tc>
          <w:tcPr>
            <w:tcW w:w="205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lastRenderedPageBreak/>
              <w:t>CD-PEI-DOX-siMRP1</w:t>
            </w:r>
          </w:p>
        </w:tc>
        <w:tc>
          <w:tcPr>
            <w:tcW w:w="1100" w:type="dxa"/>
            <w:tcBorders>
              <w:top w:val="nil"/>
              <w:left w:val="single" w:sz="8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78.4%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16.4%</w:t>
            </w:r>
          </w:p>
        </w:tc>
        <w:tc>
          <w:tcPr>
            <w:tcW w:w="68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2.7%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2.5%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80.5%</w:t>
            </w:r>
          </w:p>
        </w:tc>
        <w:tc>
          <w:tcPr>
            <w:tcW w:w="9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19.5%</w:t>
            </w:r>
          </w:p>
        </w:tc>
        <w:tc>
          <w:tcPr>
            <w:tcW w:w="9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297AA7" w:rsidRDefault="00297AA7">
            <w:pPr>
              <w:adjustRightInd w:val="0"/>
              <w:snapToGrid w:val="0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</w:tr>
    </w:tbl>
    <w:p w:rsidR="00297AA7" w:rsidRDefault="00297AA7" w:rsidP="00297AA7"/>
    <w:p w:rsidR="00297AA7" w:rsidRDefault="00297AA7" w:rsidP="00297AA7">
      <w:pPr>
        <w:rPr>
          <w:rFonts w:ascii="Times New Roman" w:hAnsi="Times New Roman" w:cs="Times New Roman"/>
        </w:rPr>
      </w:pPr>
    </w:p>
    <w:p w:rsidR="00297AA7" w:rsidRDefault="00297AA7" w:rsidP="00297AA7"/>
    <w:p w:rsidR="00FF72D2" w:rsidRDefault="00FF72D2">
      <w:bookmarkStart w:id="0" w:name="_GoBack"/>
      <w:bookmarkEnd w:id="0"/>
    </w:p>
    <w:sectPr w:rsidR="00FF72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AA7"/>
    <w:rsid w:val="00297AA7"/>
    <w:rsid w:val="00FF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77232C-1D3F-401E-96C4-4C7DD22D9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7AA7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7AA7"/>
    <w:pPr>
      <w:spacing w:after="0" w:line="240" w:lineRule="auto"/>
    </w:pPr>
    <w:rPr>
      <w:rFonts w:eastAsiaTheme="minorEastAsia"/>
      <w:kern w:val="2"/>
      <w:sz w:val="21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03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122</Words>
  <Characters>699</Characters>
  <Application>Microsoft Office Word</Application>
  <DocSecurity>0</DocSecurity>
  <Lines>5</Lines>
  <Paragraphs>1</Paragraphs>
  <ScaleCrop>false</ScaleCrop>
  <Company>Springer Nature IT</Company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2021-12-29T04:32:00Z</dcterms:created>
  <dcterms:modified xsi:type="dcterms:W3CDTF">2021-12-29T04:32:00Z</dcterms:modified>
</cp:coreProperties>
</file>