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FD2" w:rsidRPr="009E36B2" w:rsidRDefault="005C6FD2" w:rsidP="005C6FD2">
      <w:pPr>
        <w:pStyle w:val="Heading1"/>
        <w:rPr>
          <w:color w:val="auto"/>
          <w:sz w:val="20"/>
          <w:szCs w:val="20"/>
          <w:u w:val="single"/>
        </w:rPr>
      </w:pPr>
      <w:bookmarkStart w:id="0" w:name="_Hlk89091001"/>
      <w:r w:rsidRPr="009E36B2">
        <w:rPr>
          <w:color w:val="auto"/>
          <w:sz w:val="20"/>
          <w:szCs w:val="20"/>
          <w:u w:val="single"/>
        </w:rPr>
        <w:t>Supplementary Data</w:t>
      </w:r>
      <w:bookmarkStart w:id="1" w:name="_GoBack"/>
      <w:bookmarkEnd w:id="1"/>
    </w:p>
    <w:p w:rsidR="005C6FD2" w:rsidRPr="009E36B2" w:rsidRDefault="005C6FD2" w:rsidP="005C6FD2">
      <w:pPr>
        <w:spacing w:after="0"/>
        <w:rPr>
          <w:rFonts w:cs="Times New Roman"/>
          <w:b/>
          <w:bCs/>
          <w:sz w:val="20"/>
          <w:szCs w:val="20"/>
        </w:rPr>
      </w:pPr>
      <w:r w:rsidRPr="009E36B2">
        <w:rPr>
          <w:rFonts w:cs="Times New Roman"/>
          <w:b/>
          <w:bCs/>
          <w:sz w:val="20"/>
          <w:szCs w:val="20"/>
        </w:rPr>
        <w:t>Table S1 Top 20 most productive authors from South and Southeast Asian Countries publishing in the domain of groundwater during 1970-2020.</w:t>
      </w:r>
    </w:p>
    <w:tbl>
      <w:tblPr>
        <w:tblW w:w="9322" w:type="dxa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1978"/>
        <w:gridCol w:w="687"/>
        <w:gridCol w:w="730"/>
        <w:gridCol w:w="680"/>
        <w:gridCol w:w="4565"/>
      </w:tblGrid>
      <w:tr w:rsidR="009E36B2" w:rsidRPr="009E36B2" w:rsidTr="00025137">
        <w:trPr>
          <w:trHeight w:val="454"/>
        </w:trPr>
        <w:tc>
          <w:tcPr>
            <w:tcW w:w="682" w:type="dxa"/>
            <w:shd w:val="clear" w:color="auto" w:fill="auto"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SCR</w:t>
            </w: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vertAlign w:val="superscript"/>
                <w:lang w:eastAsia="en-IN"/>
              </w:rPr>
              <w:t>a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Authors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TA</w:t>
            </w: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vertAlign w:val="superscript"/>
                <w:lang w:eastAsia="en-IN"/>
              </w:rPr>
              <w:t>b</w:t>
            </w:r>
          </w:p>
        </w:tc>
        <w:tc>
          <w:tcPr>
            <w:tcW w:w="730" w:type="dxa"/>
            <w:shd w:val="clear" w:color="auto" w:fill="auto"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h-index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TC</w:t>
            </w: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vertAlign w:val="superscript"/>
                <w:lang w:eastAsia="en-IN"/>
              </w:rPr>
              <w:t>c</w:t>
            </w:r>
          </w:p>
        </w:tc>
        <w:tc>
          <w:tcPr>
            <w:tcW w:w="4565" w:type="dxa"/>
            <w:shd w:val="clear" w:color="auto" w:fill="auto"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Institute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Elango L.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2301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Geology, CEG Campus, Anna University, Chennai,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Ahmed S.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2167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Indo-French Centre for Groundwater Research, CSIR- National Geophysical Research Institute, Hyderabad,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Chidambaram S.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1880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Earth Sciences, Annamalai University, Cuddalore, Tamil Nadu,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Ahmed K.M.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5372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Geology, University of Dhaka, Bangladesh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Mukherjee A.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1783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 xml:space="preserve">Department of Geology and Geophysics, Indian Institute of Technology Kharagpur, Kharagpur, India, 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Prasanna M.V.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1238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Applied Geology, School of Engineering and Science, Curtin University, Sarawak Malaysia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Srinivasamoorthy K.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1582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Earth Sciences, Pondicherry University, Pondicherry,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Subba Rao N.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1818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Geology, Andhra University, Visakhapatnam, Andhra Pradesh,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Rahman M.M.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1833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Environmental Sciences, Jahangirnagar University, Dhaka, Bangladesh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Chakraborti D.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4552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School of Environmental Studies, Jadavpur University, Kolkata,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Jha M.K.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1987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Agricultural and Food Engineering Department (AgFE) Department, Indian Institute of Technology Kharagpur, Kharagpur,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Bhattacharya P.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2683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KTH-International Groundwater Arsenic Research Group, Department of Land and Water Resources Engineering, Royal Institute of Technology, Stockholm, Sweden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Subramani T.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848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Geology, CEG Campus, Anna University, Chennai,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Van Geen A.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2189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Lamont-Doherty Earth Observatory, Columbia University, United States,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Singh V.S.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1172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CSIR- National Geophysical Research Institute Hyderabad,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Eldho T.I.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276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Civil Engineering, Indian Institute of Technology Bombay,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Mondal N.C.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911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Academy of Scientific and Innovative Research (AcSIR), CSIR-National Geophysical Research Institute, Hyderabad,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Ramanathan A.L.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848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School of Environmental Sciences, Jawaharlal Nehru University, New Delhi,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Ariz A.Z.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562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 xml:space="preserve">Department of Environmental Sciences, Faculty of Environmental Studies, Universiti Putra Malaysia, 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Brindha K.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724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Department of Geology, Anna University, Chennai,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Elangovan, K.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177</w:t>
            </w:r>
          </w:p>
        </w:tc>
        <w:tc>
          <w:tcPr>
            <w:tcW w:w="4565" w:type="dxa"/>
            <w:shd w:val="clear" w:color="auto" w:fill="auto"/>
            <w:noWrap/>
            <w:vAlign w:val="center"/>
            <w:hideMark/>
          </w:tcPr>
          <w:p w:rsidR="005C6FD2" w:rsidRPr="009E36B2" w:rsidRDefault="005C6FD2" w:rsidP="0002513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>PSG College of Technology, Department of Civil Engineering, Coimbatore, India</w:t>
            </w:r>
          </w:p>
        </w:tc>
      </w:tr>
      <w:tr w:rsidR="009E36B2" w:rsidRPr="009E36B2" w:rsidTr="00025137">
        <w:trPr>
          <w:trHeight w:val="290"/>
        </w:trPr>
        <w:tc>
          <w:tcPr>
            <w:tcW w:w="9322" w:type="dxa"/>
            <w:gridSpan w:val="6"/>
            <w:shd w:val="clear" w:color="auto" w:fill="auto"/>
            <w:noWrap/>
            <w:vAlign w:val="center"/>
          </w:tcPr>
          <w:p w:rsidR="005C6FD2" w:rsidRPr="009E36B2" w:rsidRDefault="005C6FD2" w:rsidP="0002513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vertAlign w:val="superscript"/>
                <w:lang w:eastAsia="en-IN"/>
              </w:rPr>
              <w:t>a</w:t>
            </w: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 xml:space="preserve"> The authors are arranged as per standard competition ranking (SCR) based on the total number of articles</w:t>
            </w:r>
          </w:p>
          <w:p w:rsidR="005C6FD2" w:rsidRPr="009E36B2" w:rsidRDefault="005C6FD2" w:rsidP="0002513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vertAlign w:val="superscript"/>
                <w:lang w:eastAsia="en-IN"/>
              </w:rPr>
              <w:t>b</w:t>
            </w: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 xml:space="preserve"> TA– total number of articles by an author</w:t>
            </w:r>
          </w:p>
          <w:p w:rsidR="005C6FD2" w:rsidRPr="009E36B2" w:rsidRDefault="005C6FD2" w:rsidP="0002513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9E36B2">
              <w:rPr>
                <w:rFonts w:eastAsia="Times New Roman" w:cs="Times New Roman"/>
                <w:sz w:val="20"/>
                <w:szCs w:val="20"/>
                <w:vertAlign w:val="superscript"/>
                <w:lang w:eastAsia="en-IN"/>
              </w:rPr>
              <w:t>c</w:t>
            </w:r>
            <w:r w:rsidRPr="009E36B2">
              <w:rPr>
                <w:rFonts w:eastAsia="Times New Roman" w:cs="Times New Roman"/>
                <w:sz w:val="20"/>
                <w:szCs w:val="20"/>
                <w:lang w:eastAsia="en-IN"/>
              </w:rPr>
              <w:t xml:space="preserve"> TC – total citations</w:t>
            </w:r>
          </w:p>
        </w:tc>
      </w:tr>
    </w:tbl>
    <w:p w:rsidR="005C6FD2" w:rsidRPr="009E36B2" w:rsidRDefault="005C6FD2" w:rsidP="005C6FD2">
      <w:pPr>
        <w:spacing w:after="0"/>
        <w:jc w:val="center"/>
        <w:rPr>
          <w:rFonts w:cs="Times New Roman"/>
          <w:b/>
          <w:bCs/>
          <w:sz w:val="20"/>
          <w:szCs w:val="20"/>
        </w:rPr>
      </w:pPr>
    </w:p>
    <w:p w:rsidR="005C6FD2" w:rsidRPr="009E36B2" w:rsidRDefault="005C6FD2" w:rsidP="005C6FD2">
      <w:pPr>
        <w:spacing w:after="0"/>
        <w:jc w:val="center"/>
        <w:rPr>
          <w:rFonts w:cs="Times New Roman"/>
          <w:b/>
          <w:bCs/>
          <w:sz w:val="20"/>
          <w:szCs w:val="20"/>
        </w:rPr>
      </w:pPr>
      <w:r w:rsidRPr="009E36B2">
        <w:rPr>
          <w:rFonts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4979864" wp14:editId="16BDFB5D">
            <wp:extent cx="3973682" cy="2457450"/>
            <wp:effectExtent l="19050" t="19050" r="27305" b="190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682" cy="245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C6FD2" w:rsidRPr="009E36B2" w:rsidRDefault="005C6FD2" w:rsidP="005C6FD2">
      <w:pPr>
        <w:spacing w:after="0"/>
        <w:jc w:val="center"/>
        <w:rPr>
          <w:rFonts w:cs="Times New Roman"/>
          <w:bCs/>
          <w:sz w:val="20"/>
          <w:szCs w:val="20"/>
        </w:rPr>
      </w:pPr>
      <w:r w:rsidRPr="009E36B2">
        <w:rPr>
          <w:rFonts w:cs="Times New Roman"/>
          <w:b/>
          <w:bCs/>
          <w:sz w:val="20"/>
          <w:szCs w:val="20"/>
        </w:rPr>
        <w:t xml:space="preserve">Fig. S1 </w:t>
      </w:r>
      <w:r w:rsidRPr="009E36B2">
        <w:rPr>
          <w:rFonts w:cs="Times New Roman"/>
          <w:bCs/>
          <w:sz w:val="20"/>
          <w:szCs w:val="20"/>
        </w:rPr>
        <w:t>Authorship patterns</w:t>
      </w:r>
    </w:p>
    <w:p w:rsidR="005C6FD2" w:rsidRPr="009E36B2" w:rsidRDefault="005C6FD2" w:rsidP="005C6FD2">
      <w:pPr>
        <w:spacing w:after="0"/>
        <w:jc w:val="center"/>
        <w:rPr>
          <w:rFonts w:cs="Times New Roman"/>
          <w:bCs/>
          <w:sz w:val="20"/>
          <w:szCs w:val="20"/>
        </w:rPr>
      </w:pPr>
    </w:p>
    <w:p w:rsidR="005C6FD2" w:rsidRPr="009E36B2" w:rsidRDefault="005C6FD2" w:rsidP="005C6FD2">
      <w:pPr>
        <w:spacing w:after="0"/>
        <w:jc w:val="center"/>
        <w:rPr>
          <w:rFonts w:cs="Times New Roman"/>
          <w:bCs/>
          <w:sz w:val="20"/>
          <w:szCs w:val="20"/>
        </w:rPr>
      </w:pPr>
      <w:r w:rsidRPr="009E36B2">
        <w:rPr>
          <w:rFonts w:cs="Times New Roman"/>
          <w:bCs/>
          <w:noProof/>
          <w:sz w:val="20"/>
          <w:szCs w:val="20"/>
        </w:rPr>
        <w:drawing>
          <wp:inline distT="0" distB="0" distL="0" distR="0" wp14:anchorId="1160D9C2" wp14:editId="4B8E9914">
            <wp:extent cx="5326123" cy="2666011"/>
            <wp:effectExtent l="0" t="0" r="8255" b="127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4730" cy="267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FD2" w:rsidRPr="009E36B2" w:rsidRDefault="005C6FD2" w:rsidP="005C6FD2">
      <w:pPr>
        <w:spacing w:after="0"/>
        <w:jc w:val="center"/>
        <w:rPr>
          <w:rFonts w:cs="Times New Roman"/>
          <w:b/>
          <w:bCs/>
          <w:sz w:val="20"/>
          <w:szCs w:val="20"/>
        </w:rPr>
      </w:pPr>
      <w:r w:rsidRPr="009E36B2">
        <w:rPr>
          <w:rFonts w:cs="Times New Roman"/>
          <w:b/>
          <w:bCs/>
          <w:noProof/>
          <w:sz w:val="20"/>
          <w:szCs w:val="20"/>
        </w:rPr>
        <w:drawing>
          <wp:inline distT="0" distB="0" distL="0" distR="0" wp14:anchorId="3893778C" wp14:editId="0C5E0330">
            <wp:extent cx="5376380" cy="2434442"/>
            <wp:effectExtent l="0" t="0" r="0" b="444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8911" cy="247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FD2" w:rsidRPr="009E36B2" w:rsidRDefault="005C6FD2" w:rsidP="005C6FD2">
      <w:pPr>
        <w:pStyle w:val="ListParagraph"/>
        <w:spacing w:after="0"/>
        <w:ind w:left="0"/>
        <w:jc w:val="center"/>
        <w:rPr>
          <w:rFonts w:cs="Times New Roman"/>
          <w:b/>
          <w:bCs/>
          <w:noProof/>
          <w:sz w:val="20"/>
          <w:szCs w:val="20"/>
          <w:lang w:val="en-IN" w:eastAsia="en-IN"/>
        </w:rPr>
      </w:pPr>
      <w:r w:rsidRPr="009E36B2">
        <w:rPr>
          <w:rFonts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DAD0D4D" wp14:editId="42E3F3AD">
            <wp:extent cx="5130555" cy="2689761"/>
            <wp:effectExtent l="19050" t="19050" r="13335" b="1587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6058" cy="269788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C6FD2" w:rsidRPr="009E36B2" w:rsidRDefault="005C6FD2" w:rsidP="005C6FD2">
      <w:pPr>
        <w:pStyle w:val="ListParagraph"/>
        <w:spacing w:after="0"/>
        <w:ind w:left="0"/>
        <w:jc w:val="center"/>
        <w:rPr>
          <w:rFonts w:cs="Times New Roman"/>
          <w:b/>
          <w:bCs/>
          <w:noProof/>
          <w:sz w:val="20"/>
          <w:szCs w:val="20"/>
          <w:lang w:val="en-IN" w:eastAsia="en-IN"/>
        </w:rPr>
      </w:pPr>
      <w:r w:rsidRPr="009E36B2">
        <w:rPr>
          <w:rFonts w:cs="Times New Roman"/>
          <w:b/>
          <w:bCs/>
          <w:noProof/>
          <w:sz w:val="20"/>
          <w:szCs w:val="20"/>
        </w:rPr>
        <w:drawing>
          <wp:inline distT="0" distB="0" distL="0" distR="0" wp14:anchorId="3E08103C" wp14:editId="5663A636">
            <wp:extent cx="5125434" cy="2992582"/>
            <wp:effectExtent l="19050" t="19050" r="18415" b="17780"/>
            <wp:docPr id="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5299" cy="300418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bookmarkEnd w:id="0"/>
    <w:p w:rsidR="005C6FD2" w:rsidRPr="009E36B2" w:rsidRDefault="005C6FD2" w:rsidP="005C6FD2">
      <w:pPr>
        <w:spacing w:after="0"/>
        <w:jc w:val="center"/>
        <w:rPr>
          <w:rFonts w:cs="Times New Roman"/>
          <w:b/>
          <w:bCs/>
          <w:sz w:val="20"/>
          <w:szCs w:val="20"/>
        </w:rPr>
      </w:pPr>
      <w:r w:rsidRPr="009E36B2">
        <w:rPr>
          <w:rFonts w:cs="Times New Roman"/>
          <w:b/>
          <w:bCs/>
          <w:noProof/>
          <w:sz w:val="20"/>
          <w:szCs w:val="20"/>
        </w:rPr>
        <w:drawing>
          <wp:inline distT="0" distB="0" distL="0" distR="0" wp14:anchorId="47EC4C58" wp14:editId="4F39A6EE">
            <wp:extent cx="5172381" cy="2434442"/>
            <wp:effectExtent l="19050" t="19050" r="9525" b="2349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548" cy="24415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A1F6C" w:rsidRPr="009E36B2" w:rsidRDefault="005C6FD2" w:rsidP="005C6FD2">
      <w:pPr>
        <w:spacing w:after="0"/>
        <w:jc w:val="center"/>
      </w:pPr>
      <w:r w:rsidRPr="009E36B2">
        <w:rPr>
          <w:rFonts w:cs="Times New Roman"/>
          <w:b/>
          <w:bCs/>
          <w:sz w:val="20"/>
          <w:szCs w:val="20"/>
        </w:rPr>
        <w:t xml:space="preserve">Fig. S2 </w:t>
      </w:r>
      <w:r w:rsidRPr="009E36B2">
        <w:rPr>
          <w:rFonts w:cs="Times New Roman"/>
          <w:bCs/>
          <w:sz w:val="20"/>
          <w:szCs w:val="20"/>
        </w:rPr>
        <w:t>Trends in groundwater contaminants from the top five contributors from South and Southeast Asia during 1970-2020 a) arsenic, b) fluoride, c) nitrate, d) heavy metals, and e) salinity</w:t>
      </w:r>
    </w:p>
    <w:sectPr w:rsidR="006A1F6C" w:rsidRPr="009E36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FD2"/>
    <w:rsid w:val="005C6FD2"/>
    <w:rsid w:val="009E36B2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322587-6871-44BB-A53E-2F0DDA18D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FD2"/>
    <w:pPr>
      <w:spacing w:after="120" w:line="36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6FD2"/>
    <w:pPr>
      <w:keepNext/>
      <w:keepLines/>
      <w:spacing w:after="0" w:line="480" w:lineRule="auto"/>
      <w:outlineLvl w:val="0"/>
    </w:pPr>
    <w:rPr>
      <w:rFonts w:eastAsiaTheme="majorEastAsia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FD2"/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ListParagraph">
    <w:name w:val="List Paragraph"/>
    <w:basedOn w:val="Normal"/>
    <w:uiPriority w:val="34"/>
    <w:qFormat/>
    <w:rsid w:val="005C6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</Words>
  <Characters>2531</Characters>
  <Application>Microsoft Office Word</Application>
  <DocSecurity>0</DocSecurity>
  <Lines>21</Lines>
  <Paragraphs>5</Paragraphs>
  <ScaleCrop>false</ScaleCrop>
  <Company>Springer Nature IT</Company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2</cp:revision>
  <dcterms:created xsi:type="dcterms:W3CDTF">2022-01-19T08:09:00Z</dcterms:created>
  <dcterms:modified xsi:type="dcterms:W3CDTF">2022-01-19T08:09:00Z</dcterms:modified>
</cp:coreProperties>
</file>