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4E9" w:rsidRPr="00463BF5" w:rsidRDefault="00DF34E9" w:rsidP="00DF34E9">
      <w:pPr>
        <w:spacing w:after="0"/>
        <w:jc w:val="center"/>
        <w:rPr>
          <w:rFonts w:ascii="Times New Roman" w:eastAsia="Arial" w:hAnsi="Times New Roman" w:cs="Times New Roman"/>
          <w:b/>
          <w:bCs/>
          <w:sz w:val="36"/>
          <w:szCs w:val="36"/>
        </w:rPr>
      </w:pPr>
      <w:r w:rsidRPr="00463BF5">
        <w:rPr>
          <w:rFonts w:ascii="Times New Roman" w:eastAsia="Arial" w:hAnsi="Times New Roman" w:cs="Times New Roman"/>
          <w:b/>
          <w:bCs/>
          <w:sz w:val="36"/>
          <w:szCs w:val="36"/>
        </w:rPr>
        <w:t>Supplementary information</w:t>
      </w:r>
    </w:p>
    <w:p w:rsidR="00DF34E9" w:rsidRDefault="00DF34E9" w:rsidP="00DF34E9">
      <w:pPr>
        <w:spacing w:after="0"/>
        <w:jc w:val="center"/>
        <w:rPr>
          <w:rFonts w:ascii="Arial" w:eastAsia="Arial" w:hAnsi="Arial" w:cs="Arial"/>
          <w:b/>
          <w:bCs/>
          <w:sz w:val="36"/>
          <w:szCs w:val="36"/>
        </w:rPr>
      </w:pPr>
    </w:p>
    <w:p w:rsidR="00463BF5" w:rsidRPr="0019264A" w:rsidRDefault="00463BF5" w:rsidP="00463BF5">
      <w:pPr>
        <w:spacing w:after="0" w:line="240" w:lineRule="auto"/>
        <w:jc w:val="center"/>
        <w:rPr>
          <w:rFonts w:ascii="Times New Roman" w:hAnsi="Times New Roman" w:cs="Times New Roman"/>
          <w:b/>
          <w:szCs w:val="24"/>
          <w:lang w:val="en-GB"/>
        </w:rPr>
      </w:pPr>
      <w:r>
        <w:rPr>
          <w:rFonts w:ascii="Times New Roman" w:hAnsi="Times New Roman" w:cs="Times New Roman"/>
          <w:b/>
          <w:szCs w:val="24"/>
          <w:lang w:val="en-GB"/>
        </w:rPr>
        <w:t>Use of p</w:t>
      </w:r>
      <w:r w:rsidRPr="0019264A">
        <w:rPr>
          <w:rFonts w:ascii="Times New Roman" w:hAnsi="Times New Roman" w:cs="Times New Roman"/>
          <w:b/>
          <w:szCs w:val="24"/>
          <w:lang w:val="en-GB"/>
        </w:rPr>
        <w:t xml:space="preserve">lasma nitriding </w:t>
      </w:r>
      <w:r>
        <w:rPr>
          <w:rFonts w:ascii="Times New Roman" w:hAnsi="Times New Roman" w:cs="Times New Roman"/>
          <w:b/>
          <w:szCs w:val="24"/>
          <w:lang w:val="en-GB"/>
        </w:rPr>
        <w:t>to</w:t>
      </w:r>
      <w:r w:rsidRPr="0019264A">
        <w:rPr>
          <w:rFonts w:ascii="Times New Roman" w:hAnsi="Times New Roman" w:cs="Times New Roman"/>
          <w:b/>
          <w:szCs w:val="24"/>
          <w:lang w:val="en-GB"/>
        </w:rPr>
        <w:t xml:space="preserve"> improve</w:t>
      </w:r>
      <w:r>
        <w:rPr>
          <w:rFonts w:ascii="Times New Roman" w:hAnsi="Times New Roman" w:cs="Times New Roman"/>
          <w:b/>
          <w:szCs w:val="24"/>
          <w:lang w:val="en-GB"/>
        </w:rPr>
        <w:t xml:space="preserve"> the </w:t>
      </w:r>
      <w:r w:rsidRPr="0019264A">
        <w:rPr>
          <w:rFonts w:ascii="Times New Roman" w:hAnsi="Times New Roman" w:cs="Times New Roman"/>
          <w:b/>
          <w:szCs w:val="24"/>
          <w:lang w:val="en-GB"/>
        </w:rPr>
        <w:t xml:space="preserve">wear and corrosion resistance of 18Ni-300 </w:t>
      </w:r>
      <w:proofErr w:type="spellStart"/>
      <w:r w:rsidRPr="0019264A">
        <w:rPr>
          <w:rFonts w:ascii="Times New Roman" w:hAnsi="Times New Roman" w:cs="Times New Roman"/>
          <w:b/>
          <w:szCs w:val="24"/>
          <w:lang w:val="en-GB"/>
        </w:rPr>
        <w:t>maraging</w:t>
      </w:r>
      <w:proofErr w:type="spellEnd"/>
      <w:r w:rsidRPr="0019264A">
        <w:rPr>
          <w:rFonts w:ascii="Times New Roman" w:hAnsi="Times New Roman" w:cs="Times New Roman"/>
          <w:b/>
          <w:szCs w:val="24"/>
          <w:lang w:val="en-GB"/>
        </w:rPr>
        <w:t xml:space="preserve"> steel manufactured by selective laser melting</w:t>
      </w:r>
    </w:p>
    <w:p w:rsidR="00DF34E9" w:rsidRDefault="00DF34E9" w:rsidP="00DF34E9">
      <w:pPr>
        <w:spacing w:after="0"/>
        <w:jc w:val="center"/>
      </w:pPr>
    </w:p>
    <w:p w:rsidR="00463BF5" w:rsidRPr="00B21039" w:rsidRDefault="00463BF5" w:rsidP="00463BF5">
      <w:pPr>
        <w:spacing w:after="0"/>
        <w:jc w:val="center"/>
        <w:rPr>
          <w:rFonts w:ascii="Times New Roman" w:hAnsi="Times New Roman"/>
          <w:szCs w:val="24"/>
          <w:lang w:val="en-GB"/>
        </w:rPr>
      </w:pPr>
      <w:r w:rsidRPr="00B21039">
        <w:rPr>
          <w:rFonts w:ascii="Times New Roman" w:hAnsi="Times New Roman"/>
          <w:szCs w:val="24"/>
          <w:lang w:val="en-GB"/>
        </w:rPr>
        <w:t>M</w:t>
      </w:r>
      <w:r>
        <w:rPr>
          <w:rFonts w:ascii="Times New Roman" w:hAnsi="Times New Roman"/>
          <w:szCs w:val="24"/>
          <w:lang w:val="en-GB"/>
        </w:rPr>
        <w:t>.</w:t>
      </w:r>
      <w:r w:rsidRPr="00B21039">
        <w:rPr>
          <w:rFonts w:ascii="Times New Roman" w:hAnsi="Times New Roman"/>
          <w:szCs w:val="24"/>
          <w:lang w:val="en-GB"/>
        </w:rPr>
        <w:t xml:space="preserve"> Godec</w:t>
      </w:r>
      <w:r>
        <w:rPr>
          <w:rFonts w:ascii="Times New Roman" w:hAnsi="Times New Roman"/>
          <w:szCs w:val="24"/>
          <w:lang w:val="en-GB"/>
        </w:rPr>
        <w:t>*, B. Podgornik, A. Kocijan, Č. Donik, D. A. Skobir Balantič</w:t>
      </w:r>
    </w:p>
    <w:p w:rsidR="00463BF5" w:rsidRDefault="00463BF5" w:rsidP="00463BF5">
      <w:pPr>
        <w:spacing w:after="0"/>
        <w:jc w:val="center"/>
        <w:rPr>
          <w:rFonts w:ascii="Times New Roman" w:hAnsi="Times New Roman"/>
          <w:szCs w:val="24"/>
          <w:lang w:val="en-GB"/>
        </w:rPr>
      </w:pPr>
      <w:r>
        <w:rPr>
          <w:rFonts w:ascii="Times New Roman" w:hAnsi="Times New Roman"/>
          <w:szCs w:val="24"/>
          <w:lang w:val="en-GB"/>
        </w:rPr>
        <w:t xml:space="preserve">Institute of Metals and Technology, </w:t>
      </w:r>
      <w:proofErr w:type="spellStart"/>
      <w:r>
        <w:rPr>
          <w:rFonts w:ascii="Times New Roman" w:hAnsi="Times New Roman"/>
          <w:szCs w:val="24"/>
          <w:lang w:val="en-GB"/>
        </w:rPr>
        <w:t>Lepi</w:t>
      </w:r>
      <w:proofErr w:type="spellEnd"/>
      <w:r>
        <w:rPr>
          <w:rFonts w:ascii="Times New Roman" w:hAnsi="Times New Roman"/>
          <w:szCs w:val="24"/>
          <w:lang w:val="en-GB"/>
        </w:rPr>
        <w:t xml:space="preserve"> pot 11, 1000 Ljubljana, Slovenia</w:t>
      </w:r>
    </w:p>
    <w:p w:rsidR="00DF34E9" w:rsidRDefault="00DF34E9" w:rsidP="00463BF5">
      <w:pPr>
        <w:spacing w:after="0"/>
        <w:ind w:left="0" w:firstLine="0"/>
        <w:rPr>
          <w:rFonts w:ascii="Arial" w:eastAsia="Arial" w:hAnsi="Arial" w:cs="Arial"/>
          <w:sz w:val="22"/>
        </w:rPr>
      </w:pPr>
    </w:p>
    <w:p w:rsidR="00463BF5" w:rsidRPr="00463BF5" w:rsidRDefault="00DF34E9" w:rsidP="00463BF5">
      <w:pPr>
        <w:spacing w:after="0"/>
        <w:jc w:val="center"/>
        <w:rPr>
          <w:rFonts w:ascii="Times New Roman" w:hAnsi="Times New Roman" w:cs="Times New Roman"/>
          <w:sz w:val="22"/>
          <w:lang w:val="en-GB"/>
        </w:rPr>
      </w:pPr>
      <w:r w:rsidRPr="00463BF5">
        <w:rPr>
          <w:rFonts w:ascii="Times New Roman" w:eastAsia="Arial" w:hAnsi="Times New Roman" w:cs="Times New Roman"/>
          <w:sz w:val="22"/>
        </w:rPr>
        <w:t xml:space="preserve">*Corresponding author E-mail address: </w:t>
      </w:r>
      <w:hyperlink r:id="rId5" w:history="1">
        <w:r w:rsidR="00463BF5" w:rsidRPr="00463BF5">
          <w:rPr>
            <w:rStyle w:val="Hiperpovezava"/>
            <w:rFonts w:ascii="Times New Roman" w:hAnsi="Times New Roman" w:cs="Times New Roman"/>
            <w:sz w:val="22"/>
            <w:lang w:val="en-GB"/>
          </w:rPr>
          <w:t>matjaz.godec@imt.si</w:t>
        </w:r>
      </w:hyperlink>
    </w:p>
    <w:p w:rsidR="00463BF5" w:rsidRDefault="00463BF5" w:rsidP="00463BF5">
      <w:pPr>
        <w:spacing w:after="0"/>
        <w:jc w:val="center"/>
        <w:rPr>
          <w:rFonts w:ascii="Times New Roman" w:hAnsi="Times New Roman"/>
          <w:szCs w:val="24"/>
          <w:lang w:val="en-GB"/>
        </w:rPr>
      </w:pPr>
    </w:p>
    <w:p w:rsidR="007A6188" w:rsidRDefault="007A6188" w:rsidP="00DF34E9">
      <w:pPr>
        <w:rPr>
          <w:rStyle w:val="Hiperpovezava"/>
          <w:rFonts w:ascii="Arial" w:eastAsia="Arial" w:hAnsi="Arial" w:cs="Arial"/>
          <w:color w:val="0563C1"/>
          <w:sz w:val="22"/>
        </w:rPr>
      </w:pPr>
    </w:p>
    <w:p w:rsidR="00463BF5" w:rsidRDefault="00463BF5" w:rsidP="00DF34E9">
      <w:pPr>
        <w:rPr>
          <w:rStyle w:val="Hiperpovezava"/>
          <w:rFonts w:ascii="Arial" w:eastAsia="Arial" w:hAnsi="Arial" w:cs="Arial"/>
          <w:color w:val="0563C1"/>
          <w:sz w:val="22"/>
        </w:rPr>
      </w:pPr>
    </w:p>
    <w:p w:rsidR="00463BF5" w:rsidRPr="0019264A" w:rsidRDefault="00463BF5" w:rsidP="00463BF5">
      <w:pPr>
        <w:spacing w:after="0" w:line="240" w:lineRule="auto"/>
        <w:jc w:val="center"/>
        <w:rPr>
          <w:rFonts w:ascii="Times New Roman" w:hAnsi="Times New Roman" w:cs="Times New Roman"/>
          <w:b/>
          <w:szCs w:val="24"/>
          <w:lang w:val="en-GB"/>
        </w:rPr>
      </w:pPr>
    </w:p>
    <w:p w:rsidR="00463BF5" w:rsidRDefault="00463BF5"/>
    <w:p w:rsidR="00CA76FA" w:rsidRDefault="00CA76FA"/>
    <w:p w:rsidR="00CA76FA" w:rsidRDefault="00CA76FA"/>
    <w:p w:rsidR="00CA76FA" w:rsidRDefault="00CA76FA"/>
    <w:p w:rsidR="00CA76FA" w:rsidRDefault="00CA76FA"/>
    <w:p w:rsidR="00CA76FA" w:rsidRDefault="00CA76FA"/>
    <w:p w:rsidR="00CA76FA" w:rsidRDefault="00CA76FA"/>
    <w:p w:rsidR="00CA76FA" w:rsidRDefault="00CA76FA"/>
    <w:p w:rsidR="00CA76FA" w:rsidRDefault="00CA76FA"/>
    <w:p w:rsidR="00CA76FA" w:rsidRDefault="00CA76FA"/>
    <w:p w:rsidR="00CA76FA" w:rsidRDefault="00CA76FA"/>
    <w:p w:rsidR="00CA76FA" w:rsidRDefault="00CA76FA"/>
    <w:p w:rsidR="00CA76FA" w:rsidRDefault="00CA76FA"/>
    <w:p w:rsidR="00CA76FA" w:rsidRDefault="00CA76FA"/>
    <w:p w:rsidR="00CA76FA" w:rsidRDefault="00CA76FA"/>
    <w:p w:rsidR="00CA76FA" w:rsidRDefault="00CA76FA"/>
    <w:p w:rsidR="00CA76FA" w:rsidRDefault="00CA76FA"/>
    <w:p w:rsidR="00CA76FA" w:rsidRDefault="00CA76FA"/>
    <w:p w:rsidR="00CA76FA" w:rsidRDefault="00CA76FA"/>
    <w:p w:rsidR="00CA76FA" w:rsidRDefault="00CA76FA"/>
    <w:p w:rsidR="00CA76FA" w:rsidRDefault="00CA76FA"/>
    <w:p w:rsidR="00CA76FA" w:rsidRDefault="00CA76FA"/>
    <w:p w:rsidR="00CA76FA" w:rsidRDefault="00CA76FA" w:rsidP="00CA76FA">
      <w:pPr>
        <w:spacing w:after="0" w:line="240" w:lineRule="auto"/>
        <w:rPr>
          <w:rFonts w:ascii="Times New Roman" w:hAnsi="Times New Roman" w:cs="Times New Roman"/>
          <w:szCs w:val="24"/>
          <w:lang w:val="en-GB"/>
        </w:rPr>
      </w:pPr>
      <w:r>
        <w:rPr>
          <w:rFonts w:ascii="Times New Roman" w:hAnsi="Times New Roman" w:cs="Times New Roman"/>
          <w:szCs w:val="24"/>
          <w:lang w:val="en-GB"/>
        </w:rPr>
        <w:lastRenderedPageBreak/>
        <w:t xml:space="preserve">A typical coefficient-of-friction curve, obtained during the reciprocating abrasive wear testing of the </w:t>
      </w:r>
      <w:proofErr w:type="spellStart"/>
      <w:r>
        <w:rPr>
          <w:rFonts w:ascii="Times New Roman" w:hAnsi="Times New Roman" w:cs="Times New Roman"/>
          <w:szCs w:val="24"/>
          <w:lang w:val="en-GB"/>
        </w:rPr>
        <w:t>maraging</w:t>
      </w:r>
      <w:proofErr w:type="spellEnd"/>
      <w:r>
        <w:rPr>
          <w:rFonts w:ascii="Times New Roman" w:hAnsi="Times New Roman" w:cs="Times New Roman"/>
          <w:szCs w:val="24"/>
          <w:lang w:val="en-GB"/>
        </w:rPr>
        <w:t xml:space="preserve"> steel samples, </w:t>
      </w:r>
      <w:proofErr w:type="gramStart"/>
      <w:r>
        <w:rPr>
          <w:rFonts w:ascii="Times New Roman" w:hAnsi="Times New Roman" w:cs="Times New Roman"/>
          <w:szCs w:val="24"/>
          <w:lang w:val="en-GB"/>
        </w:rPr>
        <w:t>is shown</w:t>
      </w:r>
      <w:proofErr w:type="gramEnd"/>
      <w:r>
        <w:rPr>
          <w:rFonts w:ascii="Times New Roman" w:hAnsi="Times New Roman" w:cs="Times New Roman"/>
          <w:szCs w:val="24"/>
          <w:lang w:val="en-GB"/>
        </w:rPr>
        <w:t xml:space="preserve"> in </w:t>
      </w:r>
      <w:r w:rsidRPr="00680399">
        <w:rPr>
          <w:rFonts w:ascii="Times New Roman" w:hAnsi="Times New Roman" w:cs="Times New Roman"/>
          <w:b/>
          <w:szCs w:val="24"/>
          <w:lang w:val="en-GB"/>
        </w:rPr>
        <w:t xml:space="preserve">Fig. </w:t>
      </w:r>
      <w:r w:rsidR="00336E40">
        <w:rPr>
          <w:rFonts w:ascii="Times New Roman" w:hAnsi="Times New Roman" w:cs="Times New Roman"/>
          <w:b/>
          <w:szCs w:val="24"/>
          <w:lang w:val="en-GB"/>
        </w:rPr>
        <w:t>S1</w:t>
      </w:r>
      <w:r>
        <w:rPr>
          <w:rFonts w:ascii="Times New Roman" w:hAnsi="Times New Roman" w:cs="Times New Roman"/>
          <w:szCs w:val="24"/>
          <w:lang w:val="en-GB"/>
        </w:rPr>
        <w:t xml:space="preserve">. Similar behaviour with running-in (the first 50 seconds) and steady-state phase (100 to 1000 sec) was observed for all the investigated specimens. However, certain differences in the average values are evident, as shown in </w:t>
      </w:r>
      <w:r w:rsidRPr="00680399">
        <w:rPr>
          <w:rFonts w:ascii="Times New Roman" w:hAnsi="Times New Roman" w:cs="Times New Roman"/>
          <w:b/>
          <w:szCs w:val="24"/>
          <w:lang w:val="en-GB"/>
        </w:rPr>
        <w:t xml:space="preserve">Fig. </w:t>
      </w:r>
      <w:r w:rsidR="00336E40">
        <w:rPr>
          <w:rFonts w:ascii="Times New Roman" w:hAnsi="Times New Roman" w:cs="Times New Roman"/>
          <w:b/>
          <w:szCs w:val="24"/>
          <w:lang w:val="en-GB"/>
        </w:rPr>
        <w:t>S2</w:t>
      </w:r>
      <w:r>
        <w:rPr>
          <w:rFonts w:ascii="Times New Roman" w:hAnsi="Times New Roman" w:cs="Times New Roman"/>
          <w:szCs w:val="24"/>
          <w:lang w:val="en-GB"/>
        </w:rPr>
        <w:t xml:space="preserve">. For the AM samples the aging treatment (DAT) increases the steady-state friction (by about 10 %), making it more unstable during the second part of the testing due to the increased austenite content and precipitation. The combination of the solution treatment and aging (SAT), on the other hand, results in a reduced coefficient of friction, especially during the running-in phase, obtained by eliminating the </w:t>
      </w:r>
      <w:proofErr w:type="spellStart"/>
      <w:r>
        <w:rPr>
          <w:rFonts w:ascii="Times New Roman" w:hAnsi="Times New Roman" w:cs="Times New Roman"/>
          <w:szCs w:val="24"/>
          <w:lang w:val="en-GB"/>
        </w:rPr>
        <w:t>nano</w:t>
      </w:r>
      <w:proofErr w:type="spellEnd"/>
      <w:r>
        <w:rPr>
          <w:rFonts w:ascii="Times New Roman" w:hAnsi="Times New Roman" w:cs="Times New Roman"/>
          <w:szCs w:val="24"/>
          <w:lang w:val="en-GB"/>
        </w:rPr>
        <w:t xml:space="preserve">-segregations, reducing the retained austenite content and providing a more homogeneous microstructure. Lower friction is provided by nitriding and the formation of a hard nitride layer, being in the range 0.6–0.7. However, micro-cracks found in the compound layer for the as-built specimen (AM+N) and the presence of pores and </w:t>
      </w:r>
      <w:proofErr w:type="spellStart"/>
      <w:r>
        <w:rPr>
          <w:rFonts w:ascii="Times New Roman" w:hAnsi="Times New Roman" w:cs="Times New Roman"/>
          <w:szCs w:val="24"/>
          <w:lang w:val="en-GB"/>
        </w:rPr>
        <w:t>nano</w:t>
      </w:r>
      <w:proofErr w:type="spellEnd"/>
      <w:r>
        <w:rPr>
          <w:rFonts w:ascii="Times New Roman" w:hAnsi="Times New Roman" w:cs="Times New Roman"/>
          <w:szCs w:val="24"/>
          <w:lang w:val="en-GB"/>
        </w:rPr>
        <w:t xml:space="preserve">-segregations for the heat-treated specimens hinder the low-friction performance on a longer run. Compared to the conventionally produced </w:t>
      </w:r>
      <w:proofErr w:type="spellStart"/>
      <w:r>
        <w:rPr>
          <w:rFonts w:ascii="Times New Roman" w:hAnsi="Times New Roman" w:cs="Times New Roman"/>
          <w:szCs w:val="24"/>
          <w:lang w:val="en-GB"/>
        </w:rPr>
        <w:t>maraging</w:t>
      </w:r>
      <w:proofErr w:type="spellEnd"/>
      <w:r>
        <w:rPr>
          <w:rFonts w:ascii="Times New Roman" w:hAnsi="Times New Roman" w:cs="Times New Roman"/>
          <w:szCs w:val="24"/>
          <w:lang w:val="en-GB"/>
        </w:rPr>
        <w:t>-steel specimens, the AM specimens show a similar friction after the heat treatment, being age hardening (DAT), having a combined solution treatment and age hardening (SAT) or nitriding. The higher initial friction for the solution treated and aged AM specimen compared to the conventional one can be related to the less homogeneous microstructure.</w:t>
      </w:r>
    </w:p>
    <w:p w:rsidR="00CA76FA" w:rsidRDefault="00CA76FA" w:rsidP="00CA76FA">
      <w:pPr>
        <w:spacing w:after="0" w:line="240" w:lineRule="auto"/>
        <w:rPr>
          <w:rFonts w:ascii="Times New Roman" w:hAnsi="Times New Roman" w:cs="Times New Roman"/>
          <w:szCs w:val="24"/>
          <w:lang w:val="en-GB"/>
        </w:rPr>
      </w:pPr>
    </w:p>
    <w:p w:rsidR="00CA76FA" w:rsidRDefault="00CA76FA" w:rsidP="00CA76FA">
      <w:pPr>
        <w:spacing w:after="0" w:line="240" w:lineRule="auto"/>
        <w:rPr>
          <w:rFonts w:ascii="Times New Roman" w:hAnsi="Times New Roman" w:cs="Times New Roman"/>
          <w:szCs w:val="24"/>
          <w:lang w:val="en-GB"/>
        </w:rPr>
      </w:pPr>
      <w:r>
        <w:rPr>
          <w:rFonts w:ascii="Times New Roman" w:hAnsi="Times New Roman" w:cs="Times New Roman"/>
          <w:noProof/>
          <w:szCs w:val="24"/>
          <w:lang w:val="sl-SI" w:eastAsia="sl-SI"/>
        </w:rPr>
        <w:drawing>
          <wp:inline distT="0" distB="0" distL="0" distR="0" wp14:anchorId="3133952D" wp14:editId="22EEA2DC">
            <wp:extent cx="3707927" cy="2197290"/>
            <wp:effectExtent l="0" t="0" r="698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21602" cy="2205394"/>
                    </a:xfrm>
                    <a:prstGeom prst="rect">
                      <a:avLst/>
                    </a:prstGeom>
                  </pic:spPr>
                </pic:pic>
              </a:graphicData>
            </a:graphic>
          </wp:inline>
        </w:drawing>
      </w:r>
    </w:p>
    <w:p w:rsidR="00CA76FA" w:rsidRDefault="00CA76FA" w:rsidP="00CA76FA">
      <w:pPr>
        <w:spacing w:after="0" w:line="240" w:lineRule="auto"/>
        <w:rPr>
          <w:rFonts w:ascii="Times New Roman" w:hAnsi="Times New Roman" w:cs="Times New Roman"/>
          <w:szCs w:val="24"/>
          <w:lang w:val="en-GB"/>
        </w:rPr>
      </w:pPr>
      <w:r w:rsidRPr="00680399">
        <w:rPr>
          <w:rFonts w:ascii="Times New Roman" w:hAnsi="Times New Roman" w:cs="Times New Roman"/>
          <w:b/>
          <w:szCs w:val="24"/>
          <w:lang w:val="en-GB"/>
        </w:rPr>
        <w:t>Fig</w:t>
      </w:r>
      <w:r>
        <w:rPr>
          <w:rFonts w:ascii="Times New Roman" w:hAnsi="Times New Roman" w:cs="Times New Roman"/>
          <w:b/>
          <w:szCs w:val="24"/>
          <w:lang w:val="en-GB"/>
        </w:rPr>
        <w:t>ure S1</w:t>
      </w:r>
      <w:r w:rsidRPr="00680399">
        <w:rPr>
          <w:rFonts w:ascii="Times New Roman" w:hAnsi="Times New Roman" w:cs="Times New Roman"/>
          <w:b/>
          <w:szCs w:val="24"/>
          <w:lang w:val="en-GB"/>
        </w:rPr>
        <w:t>.</w:t>
      </w:r>
      <w:r>
        <w:rPr>
          <w:rFonts w:ascii="Times New Roman" w:hAnsi="Times New Roman" w:cs="Times New Roman"/>
          <w:szCs w:val="24"/>
          <w:lang w:val="en-GB"/>
        </w:rPr>
        <w:t xml:space="preserve"> Typical coefficient of friction curve recorded during reciprocating dry sliding test.</w:t>
      </w:r>
    </w:p>
    <w:p w:rsidR="00CA76FA" w:rsidRDefault="00CA76FA" w:rsidP="00CA76FA">
      <w:pPr>
        <w:spacing w:after="0" w:line="240" w:lineRule="auto"/>
        <w:rPr>
          <w:rFonts w:ascii="Times New Roman" w:hAnsi="Times New Roman" w:cs="Times New Roman"/>
          <w:szCs w:val="24"/>
          <w:lang w:val="en-GB"/>
        </w:rPr>
      </w:pPr>
    </w:p>
    <w:p w:rsidR="00CA76FA" w:rsidRDefault="00CA76FA" w:rsidP="00CA76FA">
      <w:pPr>
        <w:spacing w:after="0" w:line="240" w:lineRule="auto"/>
        <w:rPr>
          <w:rFonts w:ascii="Times New Roman" w:hAnsi="Times New Roman" w:cs="Times New Roman"/>
          <w:szCs w:val="24"/>
          <w:lang w:val="en-GB"/>
        </w:rPr>
      </w:pPr>
    </w:p>
    <w:p w:rsidR="00CA76FA" w:rsidRDefault="00CA76FA" w:rsidP="00CA76FA">
      <w:pPr>
        <w:spacing w:after="0" w:line="240" w:lineRule="auto"/>
        <w:rPr>
          <w:rFonts w:ascii="Times New Roman" w:hAnsi="Times New Roman" w:cs="Times New Roman"/>
          <w:szCs w:val="24"/>
          <w:lang w:val="en-GB"/>
        </w:rPr>
      </w:pPr>
      <w:r>
        <w:rPr>
          <w:rFonts w:ascii="Times New Roman" w:hAnsi="Times New Roman" w:cs="Times New Roman"/>
          <w:noProof/>
          <w:szCs w:val="24"/>
          <w:lang w:val="sl-SI" w:eastAsia="sl-SI"/>
        </w:rPr>
        <w:drawing>
          <wp:inline distT="0" distB="0" distL="0" distR="0" wp14:anchorId="37EA9EA6" wp14:editId="3ED52025">
            <wp:extent cx="5760720" cy="2109216"/>
            <wp:effectExtent l="0" t="0" r="0" b="57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109216"/>
                    </a:xfrm>
                    <a:prstGeom prst="rect">
                      <a:avLst/>
                    </a:prstGeom>
                  </pic:spPr>
                </pic:pic>
              </a:graphicData>
            </a:graphic>
          </wp:inline>
        </w:drawing>
      </w:r>
    </w:p>
    <w:p w:rsidR="00CA76FA" w:rsidRDefault="00CA76FA" w:rsidP="00CA76FA">
      <w:pPr>
        <w:tabs>
          <w:tab w:val="left" w:pos="2268"/>
          <w:tab w:val="left" w:pos="6804"/>
        </w:tabs>
        <w:spacing w:after="0" w:line="240" w:lineRule="auto"/>
        <w:rPr>
          <w:rFonts w:ascii="Times New Roman" w:hAnsi="Times New Roman" w:cs="Times New Roman"/>
          <w:szCs w:val="24"/>
          <w:lang w:val="en-GB"/>
        </w:rPr>
      </w:pPr>
      <w:r>
        <w:rPr>
          <w:rFonts w:ascii="Times New Roman" w:hAnsi="Times New Roman" w:cs="Times New Roman"/>
          <w:szCs w:val="24"/>
          <w:lang w:val="en-GB"/>
        </w:rPr>
        <w:tab/>
      </w:r>
    </w:p>
    <w:p w:rsidR="00CA76FA" w:rsidRDefault="00CA76FA" w:rsidP="00CA76FA">
      <w:pPr>
        <w:spacing w:after="0" w:line="240" w:lineRule="auto"/>
        <w:rPr>
          <w:rFonts w:ascii="Times New Roman" w:hAnsi="Times New Roman" w:cs="Times New Roman"/>
          <w:szCs w:val="24"/>
          <w:lang w:val="en-GB"/>
        </w:rPr>
      </w:pPr>
      <w:r w:rsidRPr="00680399">
        <w:rPr>
          <w:rFonts w:ascii="Times New Roman" w:hAnsi="Times New Roman" w:cs="Times New Roman"/>
          <w:b/>
          <w:szCs w:val="24"/>
          <w:lang w:val="en-GB"/>
        </w:rPr>
        <w:t>Fig</w:t>
      </w:r>
      <w:r>
        <w:rPr>
          <w:rFonts w:ascii="Times New Roman" w:hAnsi="Times New Roman" w:cs="Times New Roman"/>
          <w:b/>
          <w:szCs w:val="24"/>
          <w:lang w:val="en-GB"/>
        </w:rPr>
        <w:t>ure S2</w:t>
      </w:r>
      <w:r w:rsidRPr="00680399">
        <w:rPr>
          <w:rFonts w:ascii="Times New Roman" w:hAnsi="Times New Roman" w:cs="Times New Roman"/>
          <w:b/>
          <w:szCs w:val="24"/>
          <w:lang w:val="en-GB"/>
        </w:rPr>
        <w:t>.</w:t>
      </w:r>
      <w:r>
        <w:rPr>
          <w:rFonts w:ascii="Times New Roman" w:hAnsi="Times New Roman" w:cs="Times New Roman"/>
          <w:szCs w:val="24"/>
          <w:lang w:val="en-GB"/>
        </w:rPr>
        <w:t xml:space="preserve"> (a) Initial and (b) steady-state coefficient of friction for the investigated </w:t>
      </w:r>
      <w:proofErr w:type="spellStart"/>
      <w:r>
        <w:rPr>
          <w:rFonts w:ascii="Times New Roman" w:hAnsi="Times New Roman" w:cs="Times New Roman"/>
          <w:szCs w:val="24"/>
          <w:lang w:val="en-GB"/>
        </w:rPr>
        <w:t>maraging</w:t>
      </w:r>
      <w:proofErr w:type="spellEnd"/>
      <w:r>
        <w:rPr>
          <w:rFonts w:ascii="Times New Roman" w:hAnsi="Times New Roman" w:cs="Times New Roman"/>
          <w:szCs w:val="24"/>
          <w:lang w:val="en-GB"/>
        </w:rPr>
        <w:t>-steel specimens (AM – additive manufactured, CM – conventionally produced).</w:t>
      </w:r>
    </w:p>
    <w:p w:rsidR="00CA76FA" w:rsidRDefault="00CA76FA" w:rsidP="00CA76FA">
      <w:pPr>
        <w:spacing w:after="0" w:line="240" w:lineRule="auto"/>
        <w:rPr>
          <w:rFonts w:ascii="Times New Roman" w:hAnsi="Times New Roman" w:cs="Times New Roman"/>
          <w:szCs w:val="24"/>
          <w:lang w:val="en-GB"/>
        </w:rPr>
      </w:pPr>
    </w:p>
    <w:p w:rsidR="00CA76FA" w:rsidRDefault="00CA76FA" w:rsidP="00CA76FA">
      <w:pPr>
        <w:spacing w:after="0" w:line="240" w:lineRule="auto"/>
        <w:rPr>
          <w:rFonts w:ascii="Times New Roman" w:hAnsi="Times New Roman" w:cs="Times New Roman"/>
          <w:szCs w:val="24"/>
          <w:lang w:val="en-GB"/>
        </w:rPr>
      </w:pPr>
    </w:p>
    <w:p w:rsidR="0000357C" w:rsidRPr="007B2FFD" w:rsidRDefault="0000357C" w:rsidP="0000357C">
      <w:pPr>
        <w:rPr>
          <w:lang w:val="en-GB"/>
        </w:rPr>
      </w:pPr>
      <w:r>
        <w:rPr>
          <w:noProof/>
          <w:lang w:val="sl-SI" w:eastAsia="sl-SI"/>
        </w:rPr>
        <w:drawing>
          <wp:inline distT="0" distB="0" distL="0" distR="0" wp14:anchorId="354C1482" wp14:editId="42BB8D01">
            <wp:extent cx="5760720" cy="4450080"/>
            <wp:effectExtent l="0" t="0" r="0" b="762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0-11-06 at 17.20.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450080"/>
                    </a:xfrm>
                    <a:prstGeom prst="rect">
                      <a:avLst/>
                    </a:prstGeom>
                  </pic:spPr>
                </pic:pic>
              </a:graphicData>
            </a:graphic>
          </wp:inline>
        </w:drawing>
      </w:r>
    </w:p>
    <w:p w:rsidR="0000357C" w:rsidRDefault="0000357C" w:rsidP="0000357C">
      <w:pPr>
        <w:rPr>
          <w:rFonts w:ascii="Times New Roman" w:hAnsi="Times New Roman"/>
          <w:szCs w:val="24"/>
          <w:lang w:val="en-GB"/>
        </w:rPr>
      </w:pPr>
      <w:r w:rsidRPr="00D151E7">
        <w:rPr>
          <w:rFonts w:ascii="Times New Roman" w:hAnsi="Times New Roman"/>
          <w:b/>
          <w:szCs w:val="24"/>
          <w:lang w:val="en-GB"/>
        </w:rPr>
        <w:t>Fig</w:t>
      </w:r>
      <w:r>
        <w:rPr>
          <w:rFonts w:ascii="Times New Roman" w:hAnsi="Times New Roman"/>
          <w:b/>
          <w:szCs w:val="24"/>
          <w:lang w:val="en-GB"/>
        </w:rPr>
        <w:t>ure S</w:t>
      </w:r>
      <w:r w:rsidR="009D6B5E">
        <w:rPr>
          <w:rFonts w:ascii="Times New Roman" w:hAnsi="Times New Roman"/>
          <w:b/>
          <w:szCs w:val="24"/>
          <w:lang w:val="en-GB"/>
        </w:rPr>
        <w:t>3</w:t>
      </w:r>
      <w:bookmarkStart w:id="0" w:name="_GoBack"/>
      <w:bookmarkEnd w:id="0"/>
      <w:r w:rsidRPr="00D151E7">
        <w:rPr>
          <w:rFonts w:ascii="Times New Roman" w:hAnsi="Times New Roman"/>
          <w:szCs w:val="24"/>
          <w:lang w:val="en-GB"/>
        </w:rPr>
        <w:t>.</w:t>
      </w:r>
      <w:r w:rsidRPr="00DE58E3">
        <w:rPr>
          <w:rFonts w:ascii="Times New Roman" w:hAnsi="Times New Roman"/>
          <w:szCs w:val="24"/>
          <w:lang w:val="en-GB"/>
        </w:rPr>
        <w:t xml:space="preserve"> </w:t>
      </w:r>
      <w:proofErr w:type="spellStart"/>
      <w:r w:rsidRPr="00DE58E3">
        <w:rPr>
          <w:rFonts w:ascii="Times New Roman" w:hAnsi="Times New Roman"/>
          <w:szCs w:val="24"/>
          <w:lang w:val="en-GB"/>
        </w:rPr>
        <w:t>Potentiodynamic</w:t>
      </w:r>
      <w:proofErr w:type="spellEnd"/>
      <w:r w:rsidRPr="00DE58E3">
        <w:rPr>
          <w:rFonts w:ascii="Times New Roman" w:hAnsi="Times New Roman"/>
          <w:szCs w:val="24"/>
          <w:lang w:val="en-GB"/>
        </w:rPr>
        <w:t xml:space="preserve"> curves</w:t>
      </w:r>
      <w:r>
        <w:rPr>
          <w:rFonts w:ascii="Times New Roman" w:hAnsi="Times New Roman"/>
          <w:szCs w:val="24"/>
          <w:lang w:val="en-GB"/>
        </w:rPr>
        <w:t xml:space="preserve"> for AM and CM </w:t>
      </w:r>
      <w:proofErr w:type="spellStart"/>
      <w:r w:rsidRPr="00DE58E3">
        <w:rPr>
          <w:rFonts w:ascii="Times New Roman" w:hAnsi="Times New Roman"/>
          <w:szCs w:val="24"/>
          <w:lang w:val="en-GB"/>
        </w:rPr>
        <w:t>maraging</w:t>
      </w:r>
      <w:proofErr w:type="spellEnd"/>
      <w:r w:rsidRPr="00DE58E3">
        <w:rPr>
          <w:rFonts w:ascii="Times New Roman" w:hAnsi="Times New Roman"/>
          <w:szCs w:val="24"/>
          <w:lang w:val="en-GB"/>
        </w:rPr>
        <w:t xml:space="preserve"> steel after dif</w:t>
      </w:r>
      <w:r>
        <w:rPr>
          <w:rFonts w:ascii="Times New Roman" w:hAnsi="Times New Roman"/>
          <w:szCs w:val="24"/>
          <w:lang w:val="en-GB"/>
        </w:rPr>
        <w:t xml:space="preserve">ferent heat treatments in 3.5 % </w:t>
      </w:r>
      <w:proofErr w:type="spellStart"/>
      <w:r>
        <w:rPr>
          <w:rFonts w:ascii="Times New Roman" w:hAnsi="Times New Roman"/>
          <w:szCs w:val="24"/>
          <w:lang w:val="en-GB"/>
        </w:rPr>
        <w:t>NaCl</w:t>
      </w:r>
      <w:proofErr w:type="spellEnd"/>
      <w:r w:rsidRPr="00DE58E3">
        <w:rPr>
          <w:rFonts w:ascii="Times New Roman" w:hAnsi="Times New Roman"/>
          <w:szCs w:val="24"/>
          <w:lang w:val="en-GB"/>
        </w:rPr>
        <w:t>.</w:t>
      </w:r>
    </w:p>
    <w:p w:rsidR="0000357C" w:rsidRDefault="0000357C" w:rsidP="0000357C">
      <w:pPr>
        <w:rPr>
          <w:rFonts w:ascii="Times New Roman" w:hAnsi="Times New Roman"/>
          <w:szCs w:val="24"/>
          <w:lang w:val="en-GB"/>
        </w:rPr>
      </w:pPr>
    </w:p>
    <w:p w:rsidR="00CA76FA" w:rsidRDefault="00CA76FA"/>
    <w:sectPr w:rsidR="00CA76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97707"/>
    <w:multiLevelType w:val="hybridMultilevel"/>
    <w:tmpl w:val="4D2AB180"/>
    <w:lvl w:ilvl="0" w:tplc="E8C6B3DC">
      <w:start w:val="1"/>
      <w:numFmt w:val="decimal"/>
      <w:lvlText w:val="%1."/>
      <w:lvlJc w:val="left"/>
      <w:pPr>
        <w:ind w:left="720" w:hanging="360"/>
      </w:pPr>
    </w:lvl>
    <w:lvl w:ilvl="1" w:tplc="B43E30B8">
      <w:start w:val="1"/>
      <w:numFmt w:val="lowerLetter"/>
      <w:lvlText w:val="%2."/>
      <w:lvlJc w:val="left"/>
      <w:pPr>
        <w:ind w:left="1440" w:hanging="360"/>
      </w:pPr>
    </w:lvl>
    <w:lvl w:ilvl="2" w:tplc="62A00BE2">
      <w:start w:val="1"/>
      <w:numFmt w:val="lowerRoman"/>
      <w:lvlText w:val="%3."/>
      <w:lvlJc w:val="right"/>
      <w:pPr>
        <w:ind w:left="2160" w:hanging="180"/>
      </w:pPr>
    </w:lvl>
    <w:lvl w:ilvl="3" w:tplc="35CAF1CE">
      <w:start w:val="1"/>
      <w:numFmt w:val="decimal"/>
      <w:lvlText w:val="%4."/>
      <w:lvlJc w:val="left"/>
      <w:pPr>
        <w:ind w:left="2880" w:hanging="360"/>
      </w:pPr>
    </w:lvl>
    <w:lvl w:ilvl="4" w:tplc="22FA3A16">
      <w:start w:val="1"/>
      <w:numFmt w:val="lowerLetter"/>
      <w:lvlText w:val="%5."/>
      <w:lvlJc w:val="left"/>
      <w:pPr>
        <w:ind w:left="3600" w:hanging="360"/>
      </w:pPr>
    </w:lvl>
    <w:lvl w:ilvl="5" w:tplc="EFF40D0C">
      <w:start w:val="1"/>
      <w:numFmt w:val="lowerRoman"/>
      <w:lvlText w:val="%6."/>
      <w:lvlJc w:val="right"/>
      <w:pPr>
        <w:ind w:left="4320" w:hanging="180"/>
      </w:pPr>
    </w:lvl>
    <w:lvl w:ilvl="6" w:tplc="FFD06D0A">
      <w:start w:val="1"/>
      <w:numFmt w:val="decimal"/>
      <w:lvlText w:val="%7."/>
      <w:lvlJc w:val="left"/>
      <w:pPr>
        <w:ind w:left="5040" w:hanging="360"/>
      </w:pPr>
    </w:lvl>
    <w:lvl w:ilvl="7" w:tplc="B1105A54">
      <w:start w:val="1"/>
      <w:numFmt w:val="lowerLetter"/>
      <w:lvlText w:val="%8."/>
      <w:lvlJc w:val="left"/>
      <w:pPr>
        <w:ind w:left="5760" w:hanging="360"/>
      </w:pPr>
    </w:lvl>
    <w:lvl w:ilvl="8" w:tplc="D97AC05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4E9"/>
    <w:rsid w:val="0000357C"/>
    <w:rsid w:val="00336E40"/>
    <w:rsid w:val="00463BF5"/>
    <w:rsid w:val="0077491D"/>
    <w:rsid w:val="007A6188"/>
    <w:rsid w:val="009C6848"/>
    <w:rsid w:val="009D6B5E"/>
    <w:rsid w:val="00CA76FA"/>
    <w:rsid w:val="00DF34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788873-0793-4E67-96B3-84F558EA1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F34E9"/>
    <w:pPr>
      <w:spacing w:after="134" w:line="256" w:lineRule="auto"/>
      <w:ind w:left="10" w:hanging="10"/>
      <w:jc w:val="both"/>
    </w:pPr>
    <w:rPr>
      <w:rFonts w:ascii="Cambria" w:eastAsia="Cambria" w:hAnsi="Cambria" w:cs="Cambria"/>
      <w:color w:val="000000"/>
      <w:sz w:val="24"/>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DF34E9"/>
    <w:rPr>
      <w:color w:val="0563C1" w:themeColor="hyperlink"/>
      <w:u w:val="single"/>
    </w:rPr>
  </w:style>
  <w:style w:type="paragraph" w:styleId="Odstavekseznama">
    <w:name w:val="List Paragraph"/>
    <w:basedOn w:val="Navaden"/>
    <w:uiPriority w:val="34"/>
    <w:qFormat/>
    <w:rsid w:val="00DF34E9"/>
    <w:pPr>
      <w:ind w:left="720"/>
      <w:contextualSpacing/>
    </w:pPr>
  </w:style>
  <w:style w:type="table" w:styleId="Tabelamrea">
    <w:name w:val="Table Grid"/>
    <w:basedOn w:val="Navadnatabela"/>
    <w:uiPriority w:val="39"/>
    <w:rsid w:val="00003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420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atjaz.godec@imt.s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366</Words>
  <Characters>2087</Characters>
  <Application>Microsoft Office Word</Application>
  <DocSecurity>0</DocSecurity>
  <Lines>17</Lines>
  <Paragraphs>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Danijela Skobir Balantič</dc:creator>
  <cp:keywords/>
  <dc:description/>
  <cp:lastModifiedBy>Matjaž Godec</cp:lastModifiedBy>
  <cp:revision>3</cp:revision>
  <dcterms:created xsi:type="dcterms:W3CDTF">2020-11-23T13:09:00Z</dcterms:created>
  <dcterms:modified xsi:type="dcterms:W3CDTF">2020-11-23T14:01:00Z</dcterms:modified>
</cp:coreProperties>
</file>