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658AA" w14:textId="77777777" w:rsidR="00D034CB" w:rsidRPr="00B77D60" w:rsidRDefault="00D034CB" w:rsidP="00D034CB">
      <w:pPr>
        <w:outlineLvl w:val="0"/>
        <w:rPr>
          <w:rFonts w:ascii="Cambria" w:hAnsi="Cambria" w:cs="Calibri"/>
          <w:b/>
          <w:bCs/>
          <w:i/>
          <w:iCs/>
          <w:lang w:val="en-US"/>
        </w:rPr>
      </w:pPr>
      <w:r w:rsidRPr="00DC1474">
        <w:rPr>
          <w:rFonts w:ascii="Cambria" w:hAnsi="Cambria" w:cs="Calibri"/>
          <w:b/>
          <w:sz w:val="24"/>
          <w:szCs w:val="24"/>
          <w:lang w:val="en-US"/>
        </w:rPr>
        <w:t>Additional file 3</w:t>
      </w:r>
      <w:r>
        <w:rPr>
          <w:rFonts w:ascii="Cambria" w:hAnsi="Cambria" w:cs="Calibri"/>
          <w:b/>
          <w:sz w:val="24"/>
          <w:szCs w:val="24"/>
          <w:lang w:val="en-US"/>
        </w:rPr>
        <w:t xml:space="preserve">. </w:t>
      </w:r>
      <w:r w:rsidRPr="005C6ED5">
        <w:rPr>
          <w:rFonts w:ascii="Cambria" w:hAnsi="Cambria" w:cs="Calibri"/>
          <w:lang w:val="en-US"/>
        </w:rPr>
        <w:t>Characteristics of the guidance documents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3685"/>
      </w:tblGrid>
      <w:tr w:rsidR="00D034CB" w:rsidRPr="00B77D60" w14:paraId="339C9BFB" w14:textId="77777777" w:rsidTr="00943A4F">
        <w:tc>
          <w:tcPr>
            <w:tcW w:w="4248" w:type="dxa"/>
            <w:shd w:val="clear" w:color="auto" w:fill="auto"/>
          </w:tcPr>
          <w:p w14:paraId="11E42071" w14:textId="77777777" w:rsidR="00D034CB" w:rsidRPr="007F765F" w:rsidRDefault="00D034CB" w:rsidP="00943A4F">
            <w:pPr>
              <w:spacing w:after="0" w:line="240" w:lineRule="auto"/>
              <w:rPr>
                <w:rFonts w:ascii="Cambria" w:hAnsi="Cambria" w:cs="Calibri"/>
                <w:b/>
                <w:bCs/>
              </w:rPr>
            </w:pPr>
            <w:proofErr w:type="spellStart"/>
            <w:r w:rsidRPr="007F765F">
              <w:rPr>
                <w:rFonts w:ascii="Cambria" w:hAnsi="Cambria" w:cs="Calibri"/>
                <w:b/>
                <w:bCs/>
              </w:rPr>
              <w:t>Characteristics</w:t>
            </w:r>
            <w:proofErr w:type="spellEnd"/>
            <w:r w:rsidRPr="007F765F">
              <w:rPr>
                <w:rFonts w:ascii="Cambria" w:hAnsi="Cambria" w:cs="Calibri"/>
                <w:b/>
                <w:bCs/>
              </w:rPr>
              <w:t xml:space="preserve"> </w:t>
            </w:r>
          </w:p>
        </w:tc>
        <w:tc>
          <w:tcPr>
            <w:tcW w:w="3685" w:type="dxa"/>
            <w:shd w:val="clear" w:color="auto" w:fill="auto"/>
          </w:tcPr>
          <w:p w14:paraId="77BD48BE" w14:textId="77777777" w:rsidR="00D034CB" w:rsidRPr="007F765F" w:rsidRDefault="00D034CB" w:rsidP="00943A4F">
            <w:pPr>
              <w:spacing w:after="0" w:line="240" w:lineRule="auto"/>
              <w:rPr>
                <w:rFonts w:ascii="Cambria" w:hAnsi="Cambria" w:cs="Calibri"/>
                <w:b/>
                <w:bCs/>
              </w:rPr>
            </w:pPr>
            <w:r w:rsidRPr="007F765F">
              <w:rPr>
                <w:rFonts w:ascii="Cambria" w:hAnsi="Cambria" w:cs="Calibri"/>
                <w:b/>
                <w:bCs/>
              </w:rPr>
              <w:t>N (%)</w:t>
            </w:r>
          </w:p>
        </w:tc>
      </w:tr>
      <w:tr w:rsidR="00D034CB" w:rsidRPr="00B77D60" w14:paraId="4755C4B3" w14:textId="77777777" w:rsidTr="00943A4F">
        <w:tc>
          <w:tcPr>
            <w:tcW w:w="4248" w:type="dxa"/>
            <w:shd w:val="clear" w:color="auto" w:fill="auto"/>
          </w:tcPr>
          <w:p w14:paraId="1A18C8DF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 xml:space="preserve">Type </w:t>
            </w:r>
            <w:proofErr w:type="spellStart"/>
            <w:r w:rsidRPr="00B77D60">
              <w:rPr>
                <w:rFonts w:ascii="Cambria" w:hAnsi="Cambria" w:cs="Calibri"/>
              </w:rPr>
              <w:t>of</w:t>
            </w:r>
            <w:proofErr w:type="spellEnd"/>
            <w:r w:rsidRPr="00B77D60">
              <w:rPr>
                <w:rFonts w:ascii="Cambria" w:hAnsi="Cambria" w:cs="Calibri"/>
              </w:rPr>
              <w:t xml:space="preserve"> </w:t>
            </w:r>
            <w:proofErr w:type="spellStart"/>
            <w:r w:rsidRPr="00B77D60">
              <w:rPr>
                <w:rFonts w:ascii="Cambria" w:hAnsi="Cambria" w:cs="Calibri"/>
              </w:rPr>
              <w:t>organization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14:paraId="43DEE0F0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Governmental organization 14 (20%)</w:t>
            </w:r>
          </w:p>
          <w:p w14:paraId="58682D6E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Private organization/company/agency 6 (9%)</w:t>
            </w:r>
          </w:p>
          <w:p w14:paraId="2FA3B16C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 xml:space="preserve">Scientific </w:t>
            </w:r>
            <w:proofErr w:type="spellStart"/>
            <w:r w:rsidRPr="00B77D60">
              <w:rPr>
                <w:rFonts w:ascii="Cambria" w:hAnsi="Cambria" w:cs="Calibri"/>
              </w:rPr>
              <w:t>society</w:t>
            </w:r>
            <w:proofErr w:type="spellEnd"/>
            <w:r w:rsidRPr="00B77D60">
              <w:rPr>
                <w:rFonts w:ascii="Cambria" w:hAnsi="Cambria" w:cs="Calibri"/>
              </w:rPr>
              <w:t xml:space="preserve"> 39 (58%)</w:t>
            </w:r>
          </w:p>
          <w:p w14:paraId="35DA5B9E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proofErr w:type="spellStart"/>
            <w:r w:rsidRPr="00B77D60">
              <w:rPr>
                <w:rFonts w:ascii="Cambria" w:hAnsi="Cambria" w:cs="Calibri"/>
              </w:rPr>
              <w:t>Supranational</w:t>
            </w:r>
            <w:proofErr w:type="spellEnd"/>
            <w:r w:rsidRPr="00B77D60">
              <w:rPr>
                <w:rFonts w:ascii="Cambria" w:hAnsi="Cambria" w:cs="Calibri"/>
              </w:rPr>
              <w:t xml:space="preserve"> </w:t>
            </w:r>
            <w:proofErr w:type="spellStart"/>
            <w:r w:rsidRPr="00B77D60">
              <w:rPr>
                <w:rFonts w:ascii="Cambria" w:hAnsi="Cambria" w:cs="Calibri"/>
              </w:rPr>
              <w:t>organizations</w:t>
            </w:r>
            <w:proofErr w:type="spellEnd"/>
            <w:r w:rsidRPr="00B77D60">
              <w:rPr>
                <w:rFonts w:ascii="Cambria" w:hAnsi="Cambria" w:cs="Calibri"/>
              </w:rPr>
              <w:t xml:space="preserve"> 9 (13%)</w:t>
            </w:r>
          </w:p>
          <w:p w14:paraId="14F99F02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</w:p>
        </w:tc>
      </w:tr>
      <w:tr w:rsidR="00D034CB" w:rsidRPr="00B77D60" w14:paraId="6A2918B7" w14:textId="77777777" w:rsidTr="00943A4F">
        <w:tc>
          <w:tcPr>
            <w:tcW w:w="4248" w:type="dxa"/>
            <w:shd w:val="clear" w:color="auto" w:fill="auto"/>
          </w:tcPr>
          <w:p w14:paraId="4067F0FA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 xml:space="preserve">Country </w:t>
            </w:r>
          </w:p>
        </w:tc>
        <w:tc>
          <w:tcPr>
            <w:tcW w:w="3685" w:type="dxa"/>
            <w:shd w:val="clear" w:color="auto" w:fill="auto"/>
          </w:tcPr>
          <w:p w14:paraId="6E947A83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s-CO"/>
              </w:rPr>
            </w:pPr>
            <w:r w:rsidRPr="00B77D60">
              <w:rPr>
                <w:rFonts w:ascii="Cambria" w:hAnsi="Cambria" w:cs="Calibri"/>
                <w:lang w:val="es-CO"/>
              </w:rPr>
              <w:t>Australia 4 (6%)</w:t>
            </w:r>
          </w:p>
          <w:p w14:paraId="512CEFAC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s-CO"/>
              </w:rPr>
            </w:pPr>
            <w:proofErr w:type="spellStart"/>
            <w:r w:rsidRPr="00B77D60">
              <w:rPr>
                <w:rFonts w:ascii="Cambria" w:hAnsi="Cambria" w:cs="Calibri"/>
                <w:lang w:val="es-CO"/>
              </w:rPr>
              <w:t>Belgium</w:t>
            </w:r>
            <w:proofErr w:type="spellEnd"/>
            <w:r w:rsidRPr="00B77D60">
              <w:rPr>
                <w:rFonts w:ascii="Cambria" w:hAnsi="Cambria" w:cs="Calibri"/>
                <w:lang w:val="es-CO"/>
              </w:rPr>
              <w:t xml:space="preserve"> 3 (4%)</w:t>
            </w:r>
          </w:p>
          <w:p w14:paraId="43F36B88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s-CO"/>
              </w:rPr>
            </w:pPr>
            <w:proofErr w:type="spellStart"/>
            <w:r w:rsidRPr="00B77D60">
              <w:rPr>
                <w:rFonts w:ascii="Cambria" w:hAnsi="Cambria" w:cs="Calibri"/>
                <w:lang w:val="es-CO"/>
              </w:rPr>
              <w:t>Canada</w:t>
            </w:r>
            <w:proofErr w:type="spellEnd"/>
            <w:r w:rsidRPr="00B77D60">
              <w:rPr>
                <w:rFonts w:ascii="Cambria" w:hAnsi="Cambria" w:cs="Calibri"/>
                <w:lang w:val="es-CO"/>
              </w:rPr>
              <w:t xml:space="preserve"> 6 (9%)</w:t>
            </w:r>
          </w:p>
          <w:p w14:paraId="6C711646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s-CO"/>
              </w:rPr>
            </w:pPr>
            <w:r w:rsidRPr="00B77D60">
              <w:rPr>
                <w:rFonts w:ascii="Cambria" w:hAnsi="Cambria" w:cs="Calibri"/>
                <w:lang w:val="es-CO"/>
              </w:rPr>
              <w:t>Colombia 1 (1.5%)</w:t>
            </w:r>
          </w:p>
          <w:p w14:paraId="49705B6A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s-CO"/>
              </w:rPr>
            </w:pPr>
            <w:proofErr w:type="spellStart"/>
            <w:r w:rsidRPr="00B77D60">
              <w:rPr>
                <w:rFonts w:ascii="Cambria" w:hAnsi="Cambria" w:cs="Calibri"/>
                <w:lang w:val="es-CO"/>
              </w:rPr>
              <w:t>European</w:t>
            </w:r>
            <w:proofErr w:type="spellEnd"/>
            <w:r w:rsidRPr="00B77D60">
              <w:rPr>
                <w:rFonts w:ascii="Cambria" w:hAnsi="Cambria" w:cs="Calibri"/>
                <w:lang w:val="es-CO"/>
              </w:rPr>
              <w:t xml:space="preserve"> 6 (9%)</w:t>
            </w:r>
          </w:p>
          <w:p w14:paraId="766FBF35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Germany 3 (4%)</w:t>
            </w:r>
          </w:p>
          <w:p w14:paraId="38073BF5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Ireland 1 (1.5%)</w:t>
            </w:r>
          </w:p>
          <w:p w14:paraId="0893E878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Italy 2 (3%)</w:t>
            </w:r>
          </w:p>
          <w:p w14:paraId="2D49FB7E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Japan 2 (3%)</w:t>
            </w:r>
          </w:p>
          <w:p w14:paraId="0A41D796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Malaysia 1 (1.5%)</w:t>
            </w:r>
          </w:p>
          <w:p w14:paraId="1AF83B8F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Peru 1 (1.5%)</w:t>
            </w:r>
          </w:p>
          <w:p w14:paraId="40119AEA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Saudi Arabia 1 (1.5%)</w:t>
            </w:r>
          </w:p>
          <w:p w14:paraId="7E70E529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Spain 1 (1.5%)</w:t>
            </w:r>
          </w:p>
          <w:p w14:paraId="4C145426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United Kingdom 9 (13%)</w:t>
            </w:r>
          </w:p>
          <w:p w14:paraId="42ED1231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USA 24 (35%)</w:t>
            </w:r>
          </w:p>
          <w:p w14:paraId="1BDFBA38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Worldwide 2 (3%)</w:t>
            </w:r>
          </w:p>
          <w:p w14:paraId="70F7B6B4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</w:p>
        </w:tc>
      </w:tr>
      <w:tr w:rsidR="00D034CB" w:rsidRPr="00B77D60" w14:paraId="7D33ABD4" w14:textId="77777777" w:rsidTr="00943A4F">
        <w:tc>
          <w:tcPr>
            <w:tcW w:w="4248" w:type="dxa"/>
            <w:shd w:val="clear" w:color="auto" w:fill="auto"/>
          </w:tcPr>
          <w:p w14:paraId="45A6121A" w14:textId="77777777" w:rsidR="00D034CB" w:rsidRPr="00884AA9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884AA9">
              <w:rPr>
                <w:rFonts w:ascii="Cambria" w:hAnsi="Cambria" w:cs="Calibri"/>
                <w:lang w:val="en-US"/>
              </w:rPr>
              <w:t>Region</w:t>
            </w:r>
            <w:r w:rsidRPr="00B77D60">
              <w:rPr>
                <w:rFonts w:ascii="Cambria" w:hAnsi="Cambria" w:cs="Calibri"/>
                <w:lang w:val="en-US"/>
              </w:rPr>
              <w:t xml:space="preserve"> of the world (e.g., Europe, North America, Latin America, Africa, Asia, Oceania)</w:t>
            </w:r>
          </w:p>
        </w:tc>
        <w:tc>
          <w:tcPr>
            <w:tcW w:w="3685" w:type="dxa"/>
            <w:shd w:val="clear" w:color="auto" w:fill="auto"/>
          </w:tcPr>
          <w:p w14:paraId="0F113F52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Asia 4 (6%)</w:t>
            </w:r>
          </w:p>
          <w:p w14:paraId="23B6F865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Europe 26 (38%)</w:t>
            </w:r>
          </w:p>
          <w:p w14:paraId="3D63F8BC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North America 30 (44%)</w:t>
            </w:r>
          </w:p>
          <w:p w14:paraId="3F4A070F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  <w:lang w:val="en-US"/>
              </w:rPr>
            </w:pPr>
            <w:r w:rsidRPr="00B77D60">
              <w:rPr>
                <w:rFonts w:ascii="Cambria" w:hAnsi="Cambria" w:cs="Calibri"/>
                <w:lang w:val="en-US"/>
              </w:rPr>
              <w:t>Oceania 4 (6%)</w:t>
            </w:r>
          </w:p>
          <w:p w14:paraId="15FD9E39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South America 2 (3%)</w:t>
            </w:r>
          </w:p>
          <w:p w14:paraId="3DABA708" w14:textId="77777777" w:rsidR="00D034CB" w:rsidRPr="00B77D60" w:rsidRDefault="00D034CB" w:rsidP="00943A4F">
            <w:p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Worldwide 2 (3%)</w:t>
            </w:r>
          </w:p>
        </w:tc>
      </w:tr>
    </w:tbl>
    <w:p w14:paraId="4253E09F" w14:textId="77777777" w:rsidR="00D034CB" w:rsidRDefault="00D034CB" w:rsidP="00D034CB">
      <w:pPr>
        <w:spacing w:after="0"/>
        <w:outlineLvl w:val="0"/>
        <w:rPr>
          <w:rFonts w:ascii="Cambria" w:hAnsi="Cambria" w:cs="Calibri"/>
          <w:b/>
          <w:i/>
          <w:iCs/>
          <w:lang w:val="en-US"/>
        </w:rPr>
      </w:pPr>
    </w:p>
    <w:p w14:paraId="26DD104D" w14:textId="77777777" w:rsidR="00D034CB" w:rsidRPr="00B77D60" w:rsidRDefault="00D034CB" w:rsidP="00D034CB">
      <w:pPr>
        <w:outlineLvl w:val="0"/>
        <w:rPr>
          <w:rFonts w:ascii="Cambria" w:hAnsi="Cambria" w:cs="Calibri"/>
          <w:i/>
          <w:iCs/>
          <w:lang w:val="en-US"/>
        </w:rPr>
      </w:pPr>
      <w:r w:rsidRPr="00B77D60">
        <w:rPr>
          <w:rFonts w:ascii="Cambria" w:hAnsi="Cambria" w:cs="Calibri"/>
          <w:b/>
          <w:i/>
          <w:iCs/>
          <w:lang w:val="en-US"/>
        </w:rPr>
        <w:t>Information about guideline panel composition</w:t>
      </w:r>
    </w:p>
    <w:tbl>
      <w:tblPr>
        <w:tblW w:w="793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3118"/>
      </w:tblGrid>
      <w:tr w:rsidR="00D034CB" w:rsidRPr="00B77D60" w14:paraId="2FC816E9" w14:textId="77777777" w:rsidTr="00943A4F">
        <w:tc>
          <w:tcPr>
            <w:tcW w:w="4820" w:type="dxa"/>
            <w:shd w:val="clear" w:color="auto" w:fill="auto"/>
          </w:tcPr>
          <w:p w14:paraId="09C719F7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The</w:t>
            </w:r>
            <w:r w:rsidRPr="00B77D60">
              <w:rPr>
                <w:rFonts w:ascii="Cambria" w:hAnsi="Cambria" w:cs="Calibri"/>
              </w:rPr>
              <w:t xml:space="preserve"> document provide</w:t>
            </w:r>
            <w:r>
              <w:rPr>
                <w:rFonts w:ascii="Cambria" w:hAnsi="Cambria" w:cs="Calibri"/>
              </w:rPr>
              <w:t>s</w:t>
            </w:r>
            <w:r w:rsidRPr="00B77D60">
              <w:rPr>
                <w:rFonts w:ascii="Cambria" w:hAnsi="Cambria" w:cs="Calibri"/>
              </w:rPr>
              <w:t xml:space="preserve"> guidance about the composition of the guideline panel (any group involved in the guideline development process)</w:t>
            </w:r>
          </w:p>
        </w:tc>
        <w:tc>
          <w:tcPr>
            <w:tcW w:w="3118" w:type="dxa"/>
            <w:shd w:val="clear" w:color="auto" w:fill="auto"/>
          </w:tcPr>
          <w:p w14:paraId="363BD0DA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64 (94%)</w:t>
            </w:r>
          </w:p>
        </w:tc>
      </w:tr>
      <w:tr w:rsidR="00D034CB" w:rsidRPr="00B77D60" w14:paraId="2A6381D9" w14:textId="77777777" w:rsidTr="00943A4F">
        <w:tc>
          <w:tcPr>
            <w:tcW w:w="4820" w:type="dxa"/>
            <w:shd w:val="clear" w:color="auto" w:fill="auto"/>
          </w:tcPr>
          <w:p w14:paraId="2A23A8B6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Systematic reviewers or methodologists</w:t>
            </w:r>
          </w:p>
        </w:tc>
        <w:tc>
          <w:tcPr>
            <w:tcW w:w="3118" w:type="dxa"/>
            <w:shd w:val="clear" w:color="auto" w:fill="auto"/>
          </w:tcPr>
          <w:p w14:paraId="350C0D35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48 (71%)</w:t>
            </w:r>
          </w:p>
        </w:tc>
      </w:tr>
      <w:tr w:rsidR="00D034CB" w:rsidRPr="00B77D60" w14:paraId="062829FD" w14:textId="77777777" w:rsidTr="00943A4F">
        <w:tc>
          <w:tcPr>
            <w:tcW w:w="4820" w:type="dxa"/>
            <w:shd w:val="clear" w:color="auto" w:fill="auto"/>
          </w:tcPr>
          <w:p w14:paraId="46792245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 xml:space="preserve">Healthcare professionals </w:t>
            </w:r>
          </w:p>
        </w:tc>
        <w:tc>
          <w:tcPr>
            <w:tcW w:w="3118" w:type="dxa"/>
            <w:shd w:val="clear" w:color="auto" w:fill="auto"/>
          </w:tcPr>
          <w:p w14:paraId="30249300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65 (96%)</w:t>
            </w:r>
          </w:p>
        </w:tc>
      </w:tr>
      <w:tr w:rsidR="00D034CB" w:rsidRPr="000806C5" w14:paraId="220727AF" w14:textId="77777777" w:rsidTr="00943A4F">
        <w:tc>
          <w:tcPr>
            <w:tcW w:w="4820" w:type="dxa"/>
            <w:shd w:val="clear" w:color="auto" w:fill="auto"/>
          </w:tcPr>
          <w:p w14:paraId="4DDF9139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Number of specialties suggested in the handbook (if reported)</w:t>
            </w:r>
          </w:p>
        </w:tc>
        <w:tc>
          <w:tcPr>
            <w:tcW w:w="3118" w:type="dxa"/>
            <w:shd w:val="clear" w:color="auto" w:fill="auto"/>
          </w:tcPr>
          <w:p w14:paraId="14D30808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Yes: 18 (26%)</w:t>
            </w:r>
          </w:p>
          <w:p w14:paraId="7EE7E9F4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 xml:space="preserve">Ranged between 3 up to 20, being 4-5 the most common number. </w:t>
            </w:r>
          </w:p>
        </w:tc>
      </w:tr>
      <w:tr w:rsidR="00D034CB" w:rsidRPr="00B77D60" w14:paraId="109FA648" w14:textId="77777777" w:rsidTr="00943A4F">
        <w:tc>
          <w:tcPr>
            <w:tcW w:w="4820" w:type="dxa"/>
            <w:shd w:val="clear" w:color="auto" w:fill="auto"/>
          </w:tcPr>
          <w:p w14:paraId="078A29BD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Patients or consumer representatives</w:t>
            </w:r>
          </w:p>
        </w:tc>
        <w:tc>
          <w:tcPr>
            <w:tcW w:w="3118" w:type="dxa"/>
            <w:shd w:val="clear" w:color="auto" w:fill="auto"/>
          </w:tcPr>
          <w:p w14:paraId="5A6FDDDF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44 (64%)</w:t>
            </w:r>
          </w:p>
        </w:tc>
      </w:tr>
      <w:tr w:rsidR="00D034CB" w:rsidRPr="00B77D60" w14:paraId="25F972F6" w14:textId="77777777" w:rsidTr="00943A4F">
        <w:tc>
          <w:tcPr>
            <w:tcW w:w="4820" w:type="dxa"/>
            <w:shd w:val="clear" w:color="auto" w:fill="auto"/>
          </w:tcPr>
          <w:p w14:paraId="57BACBB5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Public members</w:t>
            </w:r>
          </w:p>
        </w:tc>
        <w:tc>
          <w:tcPr>
            <w:tcW w:w="3118" w:type="dxa"/>
            <w:shd w:val="clear" w:color="auto" w:fill="auto"/>
          </w:tcPr>
          <w:p w14:paraId="3425B765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15 (23%)</w:t>
            </w:r>
          </w:p>
        </w:tc>
      </w:tr>
      <w:tr w:rsidR="00D034CB" w:rsidRPr="00B77D60" w14:paraId="1557B4E4" w14:textId="77777777" w:rsidTr="00943A4F">
        <w:tc>
          <w:tcPr>
            <w:tcW w:w="4820" w:type="dxa"/>
            <w:shd w:val="clear" w:color="auto" w:fill="auto"/>
          </w:tcPr>
          <w:p w14:paraId="6DBC15F7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Health economists</w:t>
            </w:r>
          </w:p>
        </w:tc>
        <w:tc>
          <w:tcPr>
            <w:tcW w:w="3118" w:type="dxa"/>
            <w:shd w:val="clear" w:color="auto" w:fill="auto"/>
          </w:tcPr>
          <w:p w14:paraId="63A39353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12 (18%)</w:t>
            </w:r>
          </w:p>
        </w:tc>
      </w:tr>
      <w:tr w:rsidR="00D034CB" w:rsidRPr="00B77D60" w14:paraId="38046B1B" w14:textId="77777777" w:rsidTr="00943A4F">
        <w:tc>
          <w:tcPr>
            <w:tcW w:w="4820" w:type="dxa"/>
            <w:shd w:val="clear" w:color="auto" w:fill="auto"/>
          </w:tcPr>
          <w:p w14:paraId="60C34B38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Other specifically suggested topic experts (</w:t>
            </w:r>
            <w:proofErr w:type="gramStart"/>
            <w:r w:rsidRPr="00B77D60">
              <w:rPr>
                <w:rFonts w:ascii="Cambria" w:hAnsi="Cambria" w:cs="Calibri"/>
              </w:rPr>
              <w:t>e.g.</w:t>
            </w:r>
            <w:proofErr w:type="gramEnd"/>
            <w:r w:rsidRPr="00B77D60">
              <w:rPr>
                <w:rFonts w:ascii="Cambria" w:hAnsi="Cambria" w:cs="Calibri"/>
              </w:rPr>
              <w:t xml:space="preserve"> social workers, policy makers, etc.)</w:t>
            </w:r>
          </w:p>
        </w:tc>
        <w:tc>
          <w:tcPr>
            <w:tcW w:w="3118" w:type="dxa"/>
            <w:shd w:val="clear" w:color="auto" w:fill="auto"/>
          </w:tcPr>
          <w:p w14:paraId="3F298C9E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31 </w:t>
            </w:r>
            <w:r w:rsidRPr="00B77D60">
              <w:rPr>
                <w:rFonts w:ascii="Cambria" w:hAnsi="Cambria" w:cs="Calibri"/>
              </w:rPr>
              <w:t>(46%)</w:t>
            </w:r>
          </w:p>
        </w:tc>
      </w:tr>
    </w:tbl>
    <w:p w14:paraId="1C8DBF41" w14:textId="3FAED45D" w:rsidR="00D034CB" w:rsidRDefault="00D034CB" w:rsidP="00D034CB">
      <w:pPr>
        <w:spacing w:after="0"/>
        <w:outlineLvl w:val="0"/>
        <w:rPr>
          <w:rFonts w:ascii="Cambria" w:hAnsi="Cambria" w:cs="Calibri"/>
          <w:b/>
          <w:i/>
          <w:iCs/>
        </w:rPr>
      </w:pPr>
    </w:p>
    <w:p w14:paraId="3115C396" w14:textId="77777777" w:rsidR="00D034CB" w:rsidRDefault="00D034CB" w:rsidP="00D034CB">
      <w:pPr>
        <w:spacing w:after="0"/>
        <w:outlineLvl w:val="0"/>
        <w:rPr>
          <w:rFonts w:ascii="Cambria" w:hAnsi="Cambria" w:cs="Calibri"/>
          <w:b/>
          <w:i/>
          <w:iCs/>
        </w:rPr>
      </w:pPr>
    </w:p>
    <w:p w14:paraId="04EEEF4B" w14:textId="77777777" w:rsidR="00D034CB" w:rsidRPr="00B77D60" w:rsidRDefault="00D034CB" w:rsidP="00D034CB">
      <w:pPr>
        <w:outlineLvl w:val="0"/>
        <w:rPr>
          <w:rFonts w:ascii="Cambria" w:hAnsi="Cambria" w:cs="Calibri"/>
          <w:bCs/>
          <w:i/>
          <w:iCs/>
        </w:rPr>
      </w:pPr>
      <w:proofErr w:type="spellStart"/>
      <w:r w:rsidRPr="00B77D60">
        <w:rPr>
          <w:rFonts w:ascii="Cambria" w:hAnsi="Cambria" w:cs="Calibri"/>
          <w:b/>
          <w:i/>
          <w:iCs/>
        </w:rPr>
        <w:lastRenderedPageBreak/>
        <w:t>Quality</w:t>
      </w:r>
      <w:proofErr w:type="spellEnd"/>
      <w:r w:rsidRPr="00B77D60">
        <w:rPr>
          <w:rFonts w:ascii="Cambria" w:hAnsi="Cambria" w:cs="Calibri"/>
          <w:b/>
          <w:i/>
          <w:iCs/>
        </w:rPr>
        <w:t xml:space="preserve"> </w:t>
      </w:r>
      <w:proofErr w:type="spellStart"/>
      <w:r w:rsidRPr="00B77D60">
        <w:rPr>
          <w:rFonts w:ascii="Cambria" w:hAnsi="Cambria" w:cs="Calibri"/>
          <w:b/>
          <w:i/>
          <w:iCs/>
        </w:rPr>
        <w:t>of</w:t>
      </w:r>
      <w:proofErr w:type="spellEnd"/>
      <w:r w:rsidRPr="00B77D60">
        <w:rPr>
          <w:rFonts w:ascii="Cambria" w:hAnsi="Cambria" w:cs="Calibri"/>
          <w:b/>
          <w:i/>
          <w:iCs/>
        </w:rPr>
        <w:t xml:space="preserve"> </w:t>
      </w:r>
      <w:proofErr w:type="spellStart"/>
      <w:r w:rsidRPr="00B77D60">
        <w:rPr>
          <w:rFonts w:ascii="Cambria" w:hAnsi="Cambria" w:cs="Calibri"/>
          <w:b/>
          <w:i/>
          <w:iCs/>
        </w:rPr>
        <w:t>evidence</w:t>
      </w:r>
      <w:proofErr w:type="spellEnd"/>
      <w:r w:rsidRPr="00B77D60">
        <w:rPr>
          <w:rFonts w:ascii="Cambria" w:hAnsi="Cambria" w:cs="Calibri"/>
          <w:b/>
          <w:i/>
          <w:iCs/>
        </w:rPr>
        <w:t xml:space="preserve"> </w:t>
      </w:r>
      <w:proofErr w:type="spellStart"/>
      <w:r w:rsidRPr="00B77D60">
        <w:rPr>
          <w:rFonts w:ascii="Cambria" w:hAnsi="Cambria" w:cs="Calibri"/>
          <w:b/>
          <w:i/>
          <w:iCs/>
        </w:rPr>
        <w:t>rating</w:t>
      </w:r>
      <w:proofErr w:type="spellEnd"/>
      <w:r w:rsidRPr="00B77D60">
        <w:rPr>
          <w:rFonts w:ascii="Cambria" w:hAnsi="Cambria" w:cs="Calibri"/>
          <w:b/>
          <w:i/>
          <w:iCs/>
        </w:rPr>
        <w:t xml:space="preserve"> 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9"/>
        <w:gridCol w:w="3260"/>
      </w:tblGrid>
      <w:tr w:rsidR="00D034CB" w:rsidRPr="00B77D60" w14:paraId="14B411A8" w14:textId="77777777" w:rsidTr="00943A4F">
        <w:tc>
          <w:tcPr>
            <w:tcW w:w="4899" w:type="dxa"/>
            <w:shd w:val="clear" w:color="auto" w:fill="auto"/>
          </w:tcPr>
          <w:p w14:paraId="5D5EB915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Structured process for evaluating the quality of the evidence</w:t>
            </w:r>
          </w:p>
        </w:tc>
        <w:tc>
          <w:tcPr>
            <w:tcW w:w="3260" w:type="dxa"/>
            <w:shd w:val="clear" w:color="auto" w:fill="auto"/>
          </w:tcPr>
          <w:p w14:paraId="15EF343F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63 (93%)</w:t>
            </w:r>
          </w:p>
        </w:tc>
      </w:tr>
      <w:tr w:rsidR="00D034CB" w:rsidRPr="00B77D60" w14:paraId="3DD7E68F" w14:textId="77777777" w:rsidTr="00943A4F">
        <w:tc>
          <w:tcPr>
            <w:tcW w:w="4899" w:type="dxa"/>
            <w:shd w:val="clear" w:color="auto" w:fill="auto"/>
          </w:tcPr>
          <w:p w14:paraId="5B16196B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Specific section about how to rate the quality of the evidence</w:t>
            </w:r>
          </w:p>
        </w:tc>
        <w:tc>
          <w:tcPr>
            <w:tcW w:w="3260" w:type="dxa"/>
            <w:shd w:val="clear" w:color="auto" w:fill="auto"/>
          </w:tcPr>
          <w:p w14:paraId="79DA1155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58 (85%)</w:t>
            </w:r>
          </w:p>
        </w:tc>
      </w:tr>
      <w:tr w:rsidR="00D034CB" w:rsidRPr="00B77D60" w14:paraId="077C386D" w14:textId="77777777" w:rsidTr="00943A4F">
        <w:tc>
          <w:tcPr>
            <w:tcW w:w="4899" w:type="dxa"/>
            <w:shd w:val="clear" w:color="auto" w:fill="auto"/>
          </w:tcPr>
          <w:p w14:paraId="1EB4DF62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System/approach suggested</w:t>
            </w:r>
          </w:p>
        </w:tc>
        <w:tc>
          <w:tcPr>
            <w:tcW w:w="3260" w:type="dxa"/>
            <w:shd w:val="clear" w:color="auto" w:fill="auto"/>
          </w:tcPr>
          <w:p w14:paraId="1BEA6781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36 (53%)</w:t>
            </w:r>
          </w:p>
          <w:p w14:paraId="0A917C7C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Australian NHMRC 3 (4%)</w:t>
            </w:r>
          </w:p>
          <w:p w14:paraId="0A615281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SIGN 3 (4%)</w:t>
            </w:r>
          </w:p>
          <w:p w14:paraId="52A6CDD8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CEBM 2 (3%)</w:t>
            </w:r>
          </w:p>
          <w:p w14:paraId="6433AD09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USPSTF 1 (1.5%)</w:t>
            </w:r>
          </w:p>
          <w:p w14:paraId="2D821CBE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Other/own 9 (13%)</w:t>
            </w:r>
          </w:p>
          <w:p w14:paraId="73958321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</w:p>
          <w:p w14:paraId="49D48E96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Adapted systems/approaches (7, 10%)</w:t>
            </w:r>
          </w:p>
          <w:p w14:paraId="7A6EE53C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+ USPSTF 1 (1.5%)</w:t>
            </w:r>
          </w:p>
          <w:p w14:paraId="0B5D1959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+ CEBM 1 (1.5%)</w:t>
            </w:r>
          </w:p>
          <w:p w14:paraId="0DA22A33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+ SIGN 2 (3%)</w:t>
            </w:r>
          </w:p>
          <w:p w14:paraId="2139A937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+ CEBM + SIGN 1 (1.5%)</w:t>
            </w:r>
          </w:p>
          <w:p w14:paraId="3C1D6FC8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+ SIGN + USPSTF 1 (1.5%)</w:t>
            </w:r>
          </w:p>
          <w:p w14:paraId="50562C77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GRADE + AHRQ + USPSTF 1 (1.5%)</w:t>
            </w:r>
          </w:p>
          <w:p w14:paraId="14F49EC9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</w:p>
        </w:tc>
      </w:tr>
      <w:tr w:rsidR="00D034CB" w:rsidRPr="00B77D60" w14:paraId="6838B003" w14:textId="77777777" w:rsidTr="00943A4F">
        <w:tc>
          <w:tcPr>
            <w:tcW w:w="4899" w:type="dxa"/>
            <w:shd w:val="clear" w:color="auto" w:fill="auto"/>
          </w:tcPr>
          <w:p w14:paraId="438D51F0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Technical team or someone else makes preliminary judgments about the evidence</w:t>
            </w:r>
          </w:p>
          <w:p w14:paraId="1F8D41B3" w14:textId="77777777" w:rsidR="00D034CB" w:rsidRPr="00B77D60" w:rsidRDefault="00D034CB" w:rsidP="00943A4F">
            <w:pPr>
              <w:pStyle w:val="Fargeriklisteuthevingsfarge11"/>
              <w:spacing w:after="0" w:line="240" w:lineRule="auto"/>
              <w:ind w:left="0"/>
              <w:rPr>
                <w:rFonts w:ascii="Cambria" w:hAnsi="Cambria" w:cs="Calibri"/>
              </w:rPr>
            </w:pPr>
          </w:p>
        </w:tc>
        <w:tc>
          <w:tcPr>
            <w:tcW w:w="3260" w:type="dxa"/>
            <w:shd w:val="clear" w:color="auto" w:fill="auto"/>
          </w:tcPr>
          <w:p w14:paraId="091E3DE2" w14:textId="77777777" w:rsidR="00D034CB" w:rsidRPr="00B77D60" w:rsidRDefault="00D034CB" w:rsidP="00D034CB">
            <w:pPr>
              <w:pStyle w:val="Fargeriklisteuthevingsfarge11"/>
              <w:numPr>
                <w:ilvl w:val="0"/>
                <w:numId w:val="1"/>
              </w:numPr>
              <w:spacing w:after="0" w:line="240" w:lineRule="auto"/>
              <w:rPr>
                <w:rFonts w:ascii="Cambria" w:hAnsi="Cambria" w:cs="Calibri"/>
              </w:rPr>
            </w:pPr>
            <w:r w:rsidRPr="00B77D60">
              <w:rPr>
                <w:rFonts w:ascii="Cambria" w:hAnsi="Cambria" w:cs="Calibri"/>
              </w:rPr>
              <w:t>(46%)</w:t>
            </w:r>
          </w:p>
        </w:tc>
      </w:tr>
    </w:tbl>
    <w:p w14:paraId="61C543AC" w14:textId="77777777" w:rsidR="00D034CB" w:rsidRPr="00DD1D09" w:rsidRDefault="00D034CB" w:rsidP="00D034CB">
      <w:pPr>
        <w:rPr>
          <w:rFonts w:ascii="Cambria" w:hAnsi="Cambria" w:cs="Calibri"/>
          <w:sz w:val="18"/>
          <w:szCs w:val="18"/>
          <w:lang w:val="en-US"/>
        </w:rPr>
      </w:pPr>
      <w:r w:rsidRPr="00DD1D09">
        <w:rPr>
          <w:rFonts w:ascii="Cambria" w:hAnsi="Cambria" w:cs="Calibri"/>
          <w:sz w:val="18"/>
          <w:szCs w:val="18"/>
          <w:lang w:val="en-US"/>
        </w:rPr>
        <w:t>AHRQ: The Agency for Healthcare Research and Quality (USA); CEBM: The Centre for Evidence-Based Medicine, based in the Nuffield Department of Primary Care Health Sciences at the University of Oxford; GDG: Guideline development group; GRADE: The Grading of Recommendations Assessment, Development and Evaluation approach; NHMRC: National Health and Medical Research Council (Australia); NICE: The National Institute for Health for Care and Excellence (UK); SIGN: Scottish Intercollegiate Guidelines Network; USPSTF: The U.S. Preventive Services Task Force</w:t>
      </w:r>
    </w:p>
    <w:p w14:paraId="67C1FC7E" w14:textId="77777777" w:rsidR="00D034CB" w:rsidRPr="009F11AC" w:rsidRDefault="00D034CB" w:rsidP="00D034CB">
      <w:pPr>
        <w:outlineLvl w:val="0"/>
        <w:rPr>
          <w:rFonts w:ascii="Cambria" w:hAnsi="Cambria" w:cs="Calibri"/>
          <w:b/>
          <w:i/>
          <w:iCs/>
          <w:lang w:val="en-US"/>
        </w:rPr>
      </w:pPr>
      <w:r w:rsidRPr="009F11AC">
        <w:rPr>
          <w:rFonts w:ascii="Cambria" w:hAnsi="Cambria" w:cs="Calibri"/>
          <w:b/>
          <w:bCs/>
          <w:i/>
          <w:iCs/>
          <w:lang w:val="en-US"/>
        </w:rPr>
        <w:t>Conflicts of interest in the</w:t>
      </w:r>
      <w:r w:rsidRPr="009F11AC">
        <w:rPr>
          <w:rFonts w:ascii="Cambria" w:hAnsi="Cambria" w:cs="Calibri"/>
          <w:b/>
          <w:i/>
          <w:iCs/>
          <w:lang w:val="en-US"/>
        </w:rPr>
        <w:t xml:space="preserve"> recommendation formulation process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2"/>
        <w:gridCol w:w="1362"/>
        <w:gridCol w:w="1485"/>
        <w:gridCol w:w="1361"/>
        <w:gridCol w:w="1361"/>
        <w:gridCol w:w="1361"/>
      </w:tblGrid>
      <w:tr w:rsidR="00D034CB" w:rsidRPr="00B77D60" w14:paraId="67E5AFE8" w14:textId="77777777" w:rsidTr="00943A4F">
        <w:trPr>
          <w:trHeight w:val="274"/>
        </w:trPr>
        <w:tc>
          <w:tcPr>
            <w:tcW w:w="2132" w:type="dxa"/>
            <w:vMerge w:val="restart"/>
            <w:shd w:val="clear" w:color="auto" w:fill="auto"/>
          </w:tcPr>
          <w:p w14:paraId="180053E7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>
              <w:rPr>
                <w:rFonts w:ascii="Cambria" w:eastAsia="MS Mincho" w:hAnsi="Cambria" w:cs="Calibri"/>
                <w:b/>
                <w:szCs w:val="24"/>
                <w:lang w:val="en-US"/>
              </w:rPr>
              <w:t>Characteristics</w:t>
            </w:r>
          </w:p>
        </w:tc>
        <w:tc>
          <w:tcPr>
            <w:tcW w:w="1362" w:type="dxa"/>
            <w:vMerge w:val="restart"/>
            <w:shd w:val="clear" w:color="auto" w:fill="auto"/>
          </w:tcPr>
          <w:p w14:paraId="5F9F8E7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All </w:t>
            </w:r>
            <w:proofErr w:type="spellStart"/>
            <w:r w:rsidRPr="00B77D60">
              <w:rPr>
                <w:rFonts w:ascii="Cambria" w:eastAsia="MS Mincho" w:hAnsi="Cambria" w:cs="Calibri"/>
                <w:b/>
                <w:szCs w:val="24"/>
              </w:rPr>
              <w:t>guidance</w:t>
            </w:r>
            <w:proofErr w:type="spellEnd"/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 </w:t>
            </w:r>
            <w:proofErr w:type="spellStart"/>
            <w:r w:rsidRPr="00B77D60">
              <w:rPr>
                <w:rFonts w:ascii="Cambria" w:eastAsia="MS Mincho" w:hAnsi="Cambria" w:cs="Calibri"/>
                <w:b/>
                <w:szCs w:val="24"/>
              </w:rPr>
              <w:t>documents</w:t>
            </w:r>
            <w:proofErr w:type="spellEnd"/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  </w:t>
            </w:r>
          </w:p>
          <w:p w14:paraId="072A863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b/>
                <w:szCs w:val="24"/>
              </w:rPr>
              <w:t>68 (100%)</w:t>
            </w:r>
          </w:p>
        </w:tc>
        <w:tc>
          <w:tcPr>
            <w:tcW w:w="4207" w:type="dxa"/>
            <w:gridSpan w:val="3"/>
            <w:shd w:val="clear" w:color="auto" w:fill="auto"/>
          </w:tcPr>
          <w:p w14:paraId="056BAAED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szCs w:val="24"/>
              </w:rPr>
            </w:pPr>
            <w:proofErr w:type="spellStart"/>
            <w:r w:rsidRPr="00B77D60">
              <w:rPr>
                <w:rFonts w:ascii="Cambria" w:eastAsia="MS Mincho" w:hAnsi="Cambria" w:cs="Calibri"/>
                <w:b/>
                <w:szCs w:val="24"/>
              </w:rPr>
              <w:t>Use</w:t>
            </w:r>
            <w:proofErr w:type="spellEnd"/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 </w:t>
            </w:r>
            <w:proofErr w:type="spellStart"/>
            <w:r w:rsidRPr="00B77D60">
              <w:rPr>
                <w:rFonts w:ascii="Cambria" w:eastAsia="MS Mincho" w:hAnsi="Cambria" w:cs="Calibri"/>
                <w:b/>
                <w:szCs w:val="24"/>
              </w:rPr>
              <w:t>of</w:t>
            </w:r>
            <w:proofErr w:type="spellEnd"/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 a </w:t>
            </w:r>
            <w:proofErr w:type="spellStart"/>
            <w:r w:rsidRPr="00B77D60">
              <w:rPr>
                <w:rFonts w:ascii="Cambria" w:eastAsia="MS Mincho" w:hAnsi="Cambria" w:cs="Calibri"/>
                <w:b/>
                <w:szCs w:val="24"/>
              </w:rPr>
              <w:t>framework</w:t>
            </w:r>
            <w:proofErr w:type="spellEnd"/>
          </w:p>
        </w:tc>
        <w:tc>
          <w:tcPr>
            <w:tcW w:w="1361" w:type="dxa"/>
            <w:vMerge w:val="restart"/>
          </w:tcPr>
          <w:p w14:paraId="0E88E96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No </w:t>
            </w:r>
            <w:proofErr w:type="spellStart"/>
            <w:r w:rsidRPr="00B77D60">
              <w:rPr>
                <w:rFonts w:ascii="Cambria" w:eastAsia="MS Mincho" w:hAnsi="Cambria" w:cs="Calibri"/>
                <w:b/>
                <w:szCs w:val="24"/>
              </w:rPr>
              <w:t>framework</w:t>
            </w:r>
            <w:proofErr w:type="spellEnd"/>
            <w:r w:rsidRPr="00B77D60">
              <w:rPr>
                <w:rFonts w:ascii="Cambria" w:eastAsia="MS Mincho" w:hAnsi="Cambria" w:cs="Calibri"/>
                <w:b/>
                <w:szCs w:val="24"/>
              </w:rPr>
              <w:t xml:space="preserve"> </w:t>
            </w:r>
          </w:p>
          <w:p w14:paraId="356E6A0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szCs w:val="24"/>
              </w:rPr>
              <w:t>23/68 (34%)</w:t>
            </w:r>
          </w:p>
        </w:tc>
      </w:tr>
      <w:tr w:rsidR="00D034CB" w:rsidRPr="00B77D60" w14:paraId="4DB8CF1C" w14:textId="77777777" w:rsidTr="00943A4F">
        <w:trPr>
          <w:trHeight w:val="274"/>
        </w:trPr>
        <w:tc>
          <w:tcPr>
            <w:tcW w:w="2132" w:type="dxa"/>
            <w:vMerge/>
            <w:shd w:val="clear" w:color="auto" w:fill="auto"/>
          </w:tcPr>
          <w:p w14:paraId="719A47AC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</w:rPr>
            </w:pPr>
          </w:p>
        </w:tc>
        <w:tc>
          <w:tcPr>
            <w:tcW w:w="1362" w:type="dxa"/>
            <w:vMerge/>
            <w:shd w:val="clear" w:color="auto" w:fill="auto"/>
          </w:tcPr>
          <w:p w14:paraId="46BC7D0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</w:p>
        </w:tc>
        <w:tc>
          <w:tcPr>
            <w:tcW w:w="1485" w:type="dxa"/>
            <w:shd w:val="clear" w:color="auto" w:fill="auto"/>
          </w:tcPr>
          <w:p w14:paraId="48148261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proofErr w:type="spellStart"/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Any</w:t>
            </w:r>
            <w:proofErr w:type="spellEnd"/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 xml:space="preserve"> </w:t>
            </w:r>
            <w:proofErr w:type="spellStart"/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framework</w:t>
            </w:r>
            <w:proofErr w:type="spellEnd"/>
          </w:p>
          <w:p w14:paraId="55DA961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45/68 (66%)</w:t>
            </w:r>
          </w:p>
        </w:tc>
        <w:tc>
          <w:tcPr>
            <w:tcW w:w="1361" w:type="dxa"/>
            <w:shd w:val="clear" w:color="auto" w:fill="auto"/>
          </w:tcPr>
          <w:p w14:paraId="3DBD85F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  <w:vertAlign w:val="superscript"/>
              </w:rPr>
            </w:pPr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GRADE-EtD</w:t>
            </w:r>
            <w:r w:rsidRPr="00B77D60">
              <w:rPr>
                <w:rFonts w:ascii="Cambria" w:eastAsia="MS Mincho" w:hAnsi="Cambria" w:cs="Calibri"/>
                <w:b/>
                <w:bCs/>
                <w:szCs w:val="24"/>
                <w:vertAlign w:val="superscript"/>
              </w:rPr>
              <w:t>1</w:t>
            </w:r>
          </w:p>
          <w:p w14:paraId="2AC92DB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19/45</w:t>
            </w:r>
          </w:p>
          <w:p w14:paraId="02ECCA23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(42%)</w:t>
            </w:r>
          </w:p>
        </w:tc>
        <w:tc>
          <w:tcPr>
            <w:tcW w:w="1361" w:type="dxa"/>
            <w:shd w:val="clear" w:color="auto" w:fill="auto"/>
          </w:tcPr>
          <w:p w14:paraId="51135AB5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r>
              <w:rPr>
                <w:rFonts w:ascii="Cambria" w:eastAsia="MS Mincho" w:hAnsi="Cambria" w:cs="Calibri"/>
                <w:b/>
                <w:bCs/>
                <w:szCs w:val="24"/>
              </w:rPr>
              <w:t xml:space="preserve">Other </w:t>
            </w:r>
            <w:proofErr w:type="spellStart"/>
            <w:r>
              <w:rPr>
                <w:rFonts w:ascii="Cambria" w:eastAsia="MS Mincho" w:hAnsi="Cambria" w:cs="Calibri"/>
                <w:b/>
                <w:bCs/>
                <w:szCs w:val="24"/>
              </w:rPr>
              <w:t>framework</w:t>
            </w:r>
            <w:proofErr w:type="spellEnd"/>
          </w:p>
          <w:p w14:paraId="6E8BC239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26/45</w:t>
            </w:r>
          </w:p>
          <w:p w14:paraId="02A6E7D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b/>
                <w:bCs/>
                <w:szCs w:val="24"/>
              </w:rPr>
            </w:pPr>
            <w:r w:rsidRPr="00B77D60">
              <w:rPr>
                <w:rFonts w:ascii="Cambria" w:eastAsia="MS Mincho" w:hAnsi="Cambria" w:cs="Calibri"/>
                <w:b/>
                <w:bCs/>
                <w:szCs w:val="24"/>
              </w:rPr>
              <w:t>(58%)</w:t>
            </w:r>
          </w:p>
        </w:tc>
        <w:tc>
          <w:tcPr>
            <w:tcW w:w="1361" w:type="dxa"/>
            <w:vMerge/>
          </w:tcPr>
          <w:p w14:paraId="5818E29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</w:p>
        </w:tc>
      </w:tr>
      <w:tr w:rsidR="00D034CB" w:rsidRPr="00B77D60" w14:paraId="46E89B84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45EE4E5F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Specific chapter in the guidance document regarding conflicts of interests (COIs)</w:t>
            </w:r>
          </w:p>
        </w:tc>
        <w:tc>
          <w:tcPr>
            <w:tcW w:w="1362" w:type="dxa"/>
            <w:shd w:val="clear" w:color="auto" w:fill="auto"/>
          </w:tcPr>
          <w:p w14:paraId="62416D40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40 (59%)</w:t>
            </w:r>
          </w:p>
        </w:tc>
        <w:tc>
          <w:tcPr>
            <w:tcW w:w="1485" w:type="dxa"/>
            <w:shd w:val="clear" w:color="auto" w:fill="auto"/>
          </w:tcPr>
          <w:p w14:paraId="030908D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26 (58%)</w:t>
            </w:r>
          </w:p>
        </w:tc>
        <w:tc>
          <w:tcPr>
            <w:tcW w:w="1361" w:type="dxa"/>
            <w:shd w:val="clear" w:color="auto" w:fill="auto"/>
          </w:tcPr>
          <w:p w14:paraId="0CA4083B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15 (79%)</w:t>
            </w:r>
          </w:p>
        </w:tc>
        <w:tc>
          <w:tcPr>
            <w:tcW w:w="1361" w:type="dxa"/>
            <w:shd w:val="clear" w:color="auto" w:fill="auto"/>
          </w:tcPr>
          <w:p w14:paraId="0BDC6BC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11 (42%)</w:t>
            </w:r>
          </w:p>
        </w:tc>
        <w:tc>
          <w:tcPr>
            <w:tcW w:w="1361" w:type="dxa"/>
            <w:shd w:val="clear" w:color="auto" w:fill="auto"/>
          </w:tcPr>
          <w:p w14:paraId="22202999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14 (61%)</w:t>
            </w:r>
          </w:p>
        </w:tc>
      </w:tr>
      <w:tr w:rsidR="00D034CB" w:rsidRPr="00B77D60" w14:paraId="71ED76A8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64A2EE18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</w:rPr>
            </w:pPr>
            <w:r w:rsidRPr="00B77D60">
              <w:rPr>
                <w:rFonts w:ascii="Cambria" w:hAnsi="Cambria" w:cs="Calibri"/>
                <w:bCs/>
              </w:rPr>
              <w:t xml:space="preserve">Definition </w:t>
            </w:r>
            <w:proofErr w:type="spellStart"/>
            <w:r w:rsidRPr="00B77D60">
              <w:rPr>
                <w:rFonts w:ascii="Cambria" w:hAnsi="Cambria" w:cs="Calibri"/>
                <w:bCs/>
              </w:rPr>
              <w:t>of</w:t>
            </w:r>
            <w:proofErr w:type="spellEnd"/>
            <w:r w:rsidRPr="00B77D60">
              <w:rPr>
                <w:rFonts w:ascii="Cambria" w:hAnsi="Cambria" w:cs="Calibri"/>
                <w:bCs/>
              </w:rPr>
              <w:t xml:space="preserve"> COIs</w:t>
            </w:r>
          </w:p>
        </w:tc>
        <w:tc>
          <w:tcPr>
            <w:tcW w:w="1362" w:type="dxa"/>
            <w:shd w:val="clear" w:color="auto" w:fill="auto"/>
          </w:tcPr>
          <w:p w14:paraId="5994F213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  <w:r w:rsidRPr="00B77D60">
              <w:rPr>
                <w:rFonts w:ascii="Cambria" w:hAnsi="Cambria" w:cs="Calibri"/>
                <w:bCs/>
              </w:rPr>
              <w:t>25 (37%)</w:t>
            </w:r>
          </w:p>
        </w:tc>
        <w:tc>
          <w:tcPr>
            <w:tcW w:w="1485" w:type="dxa"/>
            <w:shd w:val="clear" w:color="auto" w:fill="auto"/>
          </w:tcPr>
          <w:p w14:paraId="4217973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  <w:r w:rsidRPr="00B77D60">
              <w:rPr>
                <w:rFonts w:ascii="Cambria" w:eastAsia="MS Mincho" w:hAnsi="Cambria" w:cs="Calibri"/>
                <w:szCs w:val="24"/>
              </w:rPr>
              <w:t>18 (40%)</w:t>
            </w:r>
          </w:p>
        </w:tc>
        <w:tc>
          <w:tcPr>
            <w:tcW w:w="1361" w:type="dxa"/>
            <w:shd w:val="clear" w:color="auto" w:fill="auto"/>
          </w:tcPr>
          <w:p w14:paraId="1E104045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  <w:r w:rsidRPr="00B77D60">
              <w:rPr>
                <w:rFonts w:ascii="Cambria" w:hAnsi="Cambria" w:cs="Calibri"/>
                <w:bCs/>
              </w:rPr>
              <w:t>11 (58%)</w:t>
            </w:r>
          </w:p>
        </w:tc>
        <w:tc>
          <w:tcPr>
            <w:tcW w:w="1361" w:type="dxa"/>
            <w:shd w:val="clear" w:color="auto" w:fill="auto"/>
          </w:tcPr>
          <w:p w14:paraId="707E482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  <w:r w:rsidRPr="00B77D60">
              <w:rPr>
                <w:rFonts w:ascii="Cambria" w:hAnsi="Cambria" w:cs="Calibri"/>
                <w:bCs/>
              </w:rPr>
              <w:t>7 (27%)</w:t>
            </w:r>
          </w:p>
        </w:tc>
        <w:tc>
          <w:tcPr>
            <w:tcW w:w="1361" w:type="dxa"/>
            <w:shd w:val="clear" w:color="auto" w:fill="auto"/>
          </w:tcPr>
          <w:p w14:paraId="37A28C4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</w:rPr>
            </w:pPr>
            <w:r w:rsidRPr="00B77D60">
              <w:rPr>
                <w:rFonts w:ascii="Cambria" w:hAnsi="Cambria" w:cs="Calibri"/>
                <w:bCs/>
              </w:rPr>
              <w:t>7 (30%)</w:t>
            </w:r>
          </w:p>
        </w:tc>
      </w:tr>
      <w:tr w:rsidR="00D034CB" w:rsidRPr="00B77D60" w14:paraId="594F3366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3DEE0191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Rationale for why it is important to report on COIs (e.g., rationale, relevance, or influence)</w:t>
            </w:r>
          </w:p>
        </w:tc>
        <w:tc>
          <w:tcPr>
            <w:tcW w:w="1362" w:type="dxa"/>
            <w:shd w:val="clear" w:color="auto" w:fill="auto"/>
          </w:tcPr>
          <w:p w14:paraId="6EBEFF4D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28 (41%)</w:t>
            </w:r>
          </w:p>
        </w:tc>
        <w:tc>
          <w:tcPr>
            <w:tcW w:w="1485" w:type="dxa"/>
            <w:shd w:val="clear" w:color="auto" w:fill="auto"/>
          </w:tcPr>
          <w:p w14:paraId="30550ED5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20 (44%)</w:t>
            </w:r>
          </w:p>
        </w:tc>
        <w:tc>
          <w:tcPr>
            <w:tcW w:w="1361" w:type="dxa"/>
            <w:shd w:val="clear" w:color="auto" w:fill="auto"/>
          </w:tcPr>
          <w:p w14:paraId="4A26BD8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12 (63%)</w:t>
            </w:r>
          </w:p>
        </w:tc>
        <w:tc>
          <w:tcPr>
            <w:tcW w:w="1361" w:type="dxa"/>
            <w:shd w:val="clear" w:color="auto" w:fill="auto"/>
          </w:tcPr>
          <w:p w14:paraId="4B42783A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(31%)</w:t>
            </w:r>
          </w:p>
        </w:tc>
        <w:tc>
          <w:tcPr>
            <w:tcW w:w="1361" w:type="dxa"/>
            <w:shd w:val="clear" w:color="auto" w:fill="auto"/>
          </w:tcPr>
          <w:p w14:paraId="500B372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(35%)</w:t>
            </w:r>
          </w:p>
        </w:tc>
      </w:tr>
      <w:tr w:rsidR="00D034CB" w:rsidRPr="000806C5" w14:paraId="463288E6" w14:textId="77777777" w:rsidTr="00943A4F">
        <w:trPr>
          <w:trHeight w:val="274"/>
        </w:trPr>
        <w:tc>
          <w:tcPr>
            <w:tcW w:w="9062" w:type="dxa"/>
            <w:gridSpan w:val="6"/>
            <w:shd w:val="clear" w:color="auto" w:fill="auto"/>
          </w:tcPr>
          <w:p w14:paraId="4E73A94B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/>
                <w:lang w:val="en-US"/>
              </w:rPr>
              <w:t>Collecting COIs in guidance documents</w:t>
            </w:r>
          </w:p>
        </w:tc>
      </w:tr>
      <w:tr w:rsidR="00D034CB" w:rsidRPr="00B77D60" w14:paraId="4030DDB0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1BBAB38D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lastRenderedPageBreak/>
              <w:t>Do the guidance documents describe a process for collecting COIs?</w:t>
            </w:r>
          </w:p>
        </w:tc>
        <w:tc>
          <w:tcPr>
            <w:tcW w:w="1362" w:type="dxa"/>
            <w:shd w:val="clear" w:color="auto" w:fill="auto"/>
          </w:tcPr>
          <w:p w14:paraId="6486F373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hAnsi="Cambria" w:cs="Calibri"/>
                <w:bCs/>
              </w:rPr>
            </w:pPr>
            <w:r w:rsidRPr="00B77D60">
              <w:rPr>
                <w:rFonts w:ascii="Cambria" w:hAnsi="Cambria" w:cs="Calibri"/>
                <w:bCs/>
              </w:rPr>
              <w:t>40 (59%)</w:t>
            </w:r>
          </w:p>
          <w:p w14:paraId="28366AB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</w:p>
        </w:tc>
        <w:tc>
          <w:tcPr>
            <w:tcW w:w="1485" w:type="dxa"/>
            <w:shd w:val="clear" w:color="auto" w:fill="auto"/>
          </w:tcPr>
          <w:p w14:paraId="4AA852C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30 (67%)</w:t>
            </w:r>
          </w:p>
        </w:tc>
        <w:tc>
          <w:tcPr>
            <w:tcW w:w="1361" w:type="dxa"/>
            <w:shd w:val="clear" w:color="auto" w:fill="auto"/>
          </w:tcPr>
          <w:p w14:paraId="367BAE60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14 (74%)</w:t>
            </w:r>
          </w:p>
        </w:tc>
        <w:tc>
          <w:tcPr>
            <w:tcW w:w="1361" w:type="dxa"/>
            <w:shd w:val="clear" w:color="auto" w:fill="auto"/>
          </w:tcPr>
          <w:p w14:paraId="41DD60C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16 (62%)</w:t>
            </w:r>
          </w:p>
        </w:tc>
        <w:tc>
          <w:tcPr>
            <w:tcW w:w="1361" w:type="dxa"/>
            <w:shd w:val="clear" w:color="auto" w:fill="auto"/>
          </w:tcPr>
          <w:p w14:paraId="64D7A70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10 (43%)</w:t>
            </w:r>
          </w:p>
        </w:tc>
      </w:tr>
      <w:tr w:rsidR="00D034CB" w:rsidRPr="00B77D60" w14:paraId="0F451A69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2DB590B7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The guidance document describes a process to report COIs</w:t>
            </w:r>
          </w:p>
        </w:tc>
        <w:tc>
          <w:tcPr>
            <w:tcW w:w="1362" w:type="dxa"/>
            <w:shd w:val="clear" w:color="auto" w:fill="auto"/>
          </w:tcPr>
          <w:p w14:paraId="297D85E9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33 (48%)</w:t>
            </w:r>
          </w:p>
        </w:tc>
        <w:tc>
          <w:tcPr>
            <w:tcW w:w="1485" w:type="dxa"/>
            <w:shd w:val="clear" w:color="auto" w:fill="auto"/>
          </w:tcPr>
          <w:p w14:paraId="4F8715C8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24 (53%)</w:t>
            </w:r>
          </w:p>
        </w:tc>
        <w:tc>
          <w:tcPr>
            <w:tcW w:w="1361" w:type="dxa"/>
            <w:shd w:val="clear" w:color="auto" w:fill="auto"/>
          </w:tcPr>
          <w:p w14:paraId="0C5B873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12 (63%)</w:t>
            </w:r>
          </w:p>
        </w:tc>
        <w:tc>
          <w:tcPr>
            <w:tcW w:w="1361" w:type="dxa"/>
            <w:shd w:val="clear" w:color="auto" w:fill="auto"/>
          </w:tcPr>
          <w:p w14:paraId="2E5E9EC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12 (46%)</w:t>
            </w:r>
          </w:p>
        </w:tc>
        <w:tc>
          <w:tcPr>
            <w:tcW w:w="1361" w:type="dxa"/>
            <w:shd w:val="clear" w:color="auto" w:fill="auto"/>
          </w:tcPr>
          <w:p w14:paraId="7EFEC7D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9 (39%)</w:t>
            </w:r>
          </w:p>
        </w:tc>
      </w:tr>
      <w:tr w:rsidR="00D034CB" w:rsidRPr="00B77D60" w14:paraId="5A0467D8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6912F480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The guidance document specifies who must report on COIs</w:t>
            </w:r>
          </w:p>
        </w:tc>
        <w:tc>
          <w:tcPr>
            <w:tcW w:w="1362" w:type="dxa"/>
            <w:shd w:val="clear" w:color="auto" w:fill="auto"/>
          </w:tcPr>
          <w:p w14:paraId="173AC1D9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59 (87%)</w:t>
            </w:r>
          </w:p>
        </w:tc>
        <w:tc>
          <w:tcPr>
            <w:tcW w:w="1485" w:type="dxa"/>
            <w:shd w:val="clear" w:color="auto" w:fill="auto"/>
          </w:tcPr>
          <w:p w14:paraId="442B5229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40 (89%)</w:t>
            </w:r>
          </w:p>
        </w:tc>
        <w:tc>
          <w:tcPr>
            <w:tcW w:w="1361" w:type="dxa"/>
            <w:shd w:val="clear" w:color="auto" w:fill="auto"/>
          </w:tcPr>
          <w:p w14:paraId="4CFBCECD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18 (95%)</w:t>
            </w:r>
          </w:p>
        </w:tc>
        <w:tc>
          <w:tcPr>
            <w:tcW w:w="1361" w:type="dxa"/>
            <w:shd w:val="clear" w:color="auto" w:fill="auto"/>
          </w:tcPr>
          <w:p w14:paraId="73397B7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22 (85%)</w:t>
            </w:r>
          </w:p>
        </w:tc>
        <w:tc>
          <w:tcPr>
            <w:tcW w:w="1361" w:type="dxa"/>
            <w:shd w:val="clear" w:color="auto" w:fill="auto"/>
          </w:tcPr>
          <w:p w14:paraId="7F4375A0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19 (83%)</w:t>
            </w:r>
          </w:p>
        </w:tc>
      </w:tr>
      <w:tr w:rsidR="00D034CB" w:rsidRPr="00B77D60" w14:paraId="0C145664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7610B8E2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If applicable, the Declaration of Conflict of Interests (DCOIs) is reviewed before making appointments to the guideline development group (GDG)?</w:t>
            </w:r>
          </w:p>
        </w:tc>
        <w:tc>
          <w:tcPr>
            <w:tcW w:w="1362" w:type="dxa"/>
            <w:shd w:val="clear" w:color="auto" w:fill="auto"/>
          </w:tcPr>
          <w:p w14:paraId="7A91BA1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42 (62%)</w:t>
            </w:r>
          </w:p>
        </w:tc>
        <w:tc>
          <w:tcPr>
            <w:tcW w:w="1485" w:type="dxa"/>
            <w:shd w:val="clear" w:color="auto" w:fill="auto"/>
          </w:tcPr>
          <w:p w14:paraId="439E3990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31 (69%)</w:t>
            </w:r>
          </w:p>
        </w:tc>
        <w:tc>
          <w:tcPr>
            <w:tcW w:w="1361" w:type="dxa"/>
            <w:shd w:val="clear" w:color="auto" w:fill="auto"/>
          </w:tcPr>
          <w:p w14:paraId="28131E5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13 (68%)</w:t>
            </w:r>
          </w:p>
        </w:tc>
        <w:tc>
          <w:tcPr>
            <w:tcW w:w="1361" w:type="dxa"/>
            <w:shd w:val="clear" w:color="auto" w:fill="auto"/>
          </w:tcPr>
          <w:p w14:paraId="0080691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18 (69%)</w:t>
            </w:r>
          </w:p>
        </w:tc>
        <w:tc>
          <w:tcPr>
            <w:tcW w:w="1361" w:type="dxa"/>
            <w:shd w:val="clear" w:color="auto" w:fill="auto"/>
          </w:tcPr>
          <w:p w14:paraId="594D787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11 (48%)</w:t>
            </w:r>
          </w:p>
        </w:tc>
      </w:tr>
      <w:tr w:rsidR="00D034CB" w:rsidRPr="00B77D60" w14:paraId="6E178051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0342E664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 xml:space="preserve">Does the document specify the types of COIs to be declared (i.e., </w:t>
            </w:r>
            <w:proofErr w:type="gramStart"/>
            <w:r w:rsidRPr="00B77D60">
              <w:rPr>
                <w:rFonts w:ascii="Cambria" w:hAnsi="Cambria" w:cs="Calibri"/>
                <w:bCs/>
                <w:lang w:val="en-US"/>
              </w:rPr>
              <w:t>financial</w:t>
            </w:r>
            <w:proofErr w:type="gramEnd"/>
            <w:r w:rsidRPr="00B77D60">
              <w:rPr>
                <w:rFonts w:ascii="Cambria" w:hAnsi="Cambria" w:cs="Calibri"/>
                <w:bCs/>
                <w:lang w:val="en-US"/>
              </w:rPr>
              <w:t xml:space="preserve"> and non-financial)?</w:t>
            </w:r>
          </w:p>
        </w:tc>
        <w:tc>
          <w:tcPr>
            <w:tcW w:w="1362" w:type="dxa"/>
            <w:shd w:val="clear" w:color="auto" w:fill="auto"/>
          </w:tcPr>
          <w:p w14:paraId="388D3650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37 (54%)</w:t>
            </w:r>
          </w:p>
        </w:tc>
        <w:tc>
          <w:tcPr>
            <w:tcW w:w="1485" w:type="dxa"/>
            <w:shd w:val="clear" w:color="auto" w:fill="auto"/>
          </w:tcPr>
          <w:p w14:paraId="1C69667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27 (60%)</w:t>
            </w:r>
          </w:p>
        </w:tc>
        <w:tc>
          <w:tcPr>
            <w:tcW w:w="1361" w:type="dxa"/>
            <w:shd w:val="clear" w:color="auto" w:fill="auto"/>
          </w:tcPr>
          <w:p w14:paraId="128BE38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12 (63%)</w:t>
            </w:r>
          </w:p>
        </w:tc>
        <w:tc>
          <w:tcPr>
            <w:tcW w:w="1361" w:type="dxa"/>
            <w:shd w:val="clear" w:color="auto" w:fill="auto"/>
          </w:tcPr>
          <w:p w14:paraId="1BA584A5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15 (58%)</w:t>
            </w:r>
          </w:p>
        </w:tc>
        <w:tc>
          <w:tcPr>
            <w:tcW w:w="1361" w:type="dxa"/>
            <w:shd w:val="clear" w:color="auto" w:fill="auto"/>
          </w:tcPr>
          <w:p w14:paraId="37DE816A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10 (43%)</w:t>
            </w:r>
          </w:p>
        </w:tc>
      </w:tr>
      <w:tr w:rsidR="00D034CB" w:rsidRPr="00B77D60" w14:paraId="2FD73CDF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16A2A834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If applicable, the document describes how to identify each one of them?</w:t>
            </w:r>
          </w:p>
        </w:tc>
        <w:tc>
          <w:tcPr>
            <w:tcW w:w="1362" w:type="dxa"/>
            <w:shd w:val="clear" w:color="auto" w:fill="auto"/>
          </w:tcPr>
          <w:p w14:paraId="791B8145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27 (40%)</w:t>
            </w:r>
          </w:p>
        </w:tc>
        <w:tc>
          <w:tcPr>
            <w:tcW w:w="1485" w:type="dxa"/>
            <w:shd w:val="clear" w:color="auto" w:fill="auto"/>
          </w:tcPr>
          <w:p w14:paraId="2F3B1E9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19 (42%)</w:t>
            </w:r>
          </w:p>
        </w:tc>
        <w:tc>
          <w:tcPr>
            <w:tcW w:w="1361" w:type="dxa"/>
            <w:shd w:val="clear" w:color="auto" w:fill="auto"/>
          </w:tcPr>
          <w:p w14:paraId="0A12524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10 (53%)</w:t>
            </w:r>
          </w:p>
        </w:tc>
        <w:tc>
          <w:tcPr>
            <w:tcW w:w="1361" w:type="dxa"/>
            <w:shd w:val="clear" w:color="auto" w:fill="auto"/>
          </w:tcPr>
          <w:p w14:paraId="7BEABD63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9 (35%)</w:t>
            </w:r>
          </w:p>
        </w:tc>
        <w:tc>
          <w:tcPr>
            <w:tcW w:w="1361" w:type="dxa"/>
            <w:shd w:val="clear" w:color="auto" w:fill="auto"/>
          </w:tcPr>
          <w:p w14:paraId="77707220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(35%)</w:t>
            </w:r>
          </w:p>
        </w:tc>
      </w:tr>
      <w:tr w:rsidR="00D034CB" w:rsidRPr="00B77D60" w14:paraId="190A42BA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6F470B9A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The document describes a process to evaluate the severity of COIs?</w:t>
            </w:r>
          </w:p>
        </w:tc>
        <w:tc>
          <w:tcPr>
            <w:tcW w:w="1362" w:type="dxa"/>
            <w:shd w:val="clear" w:color="auto" w:fill="auto"/>
          </w:tcPr>
          <w:p w14:paraId="139515E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13 (19%)</w:t>
            </w:r>
          </w:p>
        </w:tc>
        <w:tc>
          <w:tcPr>
            <w:tcW w:w="1485" w:type="dxa"/>
            <w:shd w:val="clear" w:color="auto" w:fill="auto"/>
          </w:tcPr>
          <w:p w14:paraId="5976C5B1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11 (24%)</w:t>
            </w:r>
          </w:p>
        </w:tc>
        <w:tc>
          <w:tcPr>
            <w:tcW w:w="1361" w:type="dxa"/>
            <w:shd w:val="clear" w:color="auto" w:fill="auto"/>
          </w:tcPr>
          <w:p w14:paraId="3C8AF1AA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9 (47%)</w:t>
            </w:r>
          </w:p>
        </w:tc>
        <w:tc>
          <w:tcPr>
            <w:tcW w:w="1361" w:type="dxa"/>
            <w:shd w:val="clear" w:color="auto" w:fill="auto"/>
          </w:tcPr>
          <w:p w14:paraId="3965E2D8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2 (8%)</w:t>
            </w:r>
          </w:p>
        </w:tc>
        <w:tc>
          <w:tcPr>
            <w:tcW w:w="1361" w:type="dxa"/>
            <w:shd w:val="clear" w:color="auto" w:fill="auto"/>
          </w:tcPr>
          <w:p w14:paraId="14BC5B61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2 (9%)</w:t>
            </w:r>
          </w:p>
        </w:tc>
      </w:tr>
      <w:tr w:rsidR="00D034CB" w:rsidRPr="00B77D60" w14:paraId="104CCDA6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39AE8CAC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 xml:space="preserve">The guidance document specifies a threshold for declaring financial COIs (e.g., 5000 USD)?  </w:t>
            </w:r>
          </w:p>
        </w:tc>
        <w:tc>
          <w:tcPr>
            <w:tcW w:w="1362" w:type="dxa"/>
            <w:shd w:val="clear" w:color="auto" w:fill="auto"/>
          </w:tcPr>
          <w:p w14:paraId="785777AD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(12%)</w:t>
            </w:r>
          </w:p>
        </w:tc>
        <w:tc>
          <w:tcPr>
            <w:tcW w:w="1485" w:type="dxa"/>
            <w:shd w:val="clear" w:color="auto" w:fill="auto"/>
          </w:tcPr>
          <w:p w14:paraId="4E9715D8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7 (16%)</w:t>
            </w:r>
          </w:p>
        </w:tc>
        <w:tc>
          <w:tcPr>
            <w:tcW w:w="1361" w:type="dxa"/>
            <w:shd w:val="clear" w:color="auto" w:fill="auto"/>
          </w:tcPr>
          <w:p w14:paraId="152DCBD3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2 (10%)</w:t>
            </w:r>
          </w:p>
        </w:tc>
        <w:tc>
          <w:tcPr>
            <w:tcW w:w="1361" w:type="dxa"/>
            <w:shd w:val="clear" w:color="auto" w:fill="auto"/>
          </w:tcPr>
          <w:p w14:paraId="18F114A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5 (19%)</w:t>
            </w:r>
          </w:p>
        </w:tc>
        <w:tc>
          <w:tcPr>
            <w:tcW w:w="1361" w:type="dxa"/>
            <w:shd w:val="clear" w:color="auto" w:fill="auto"/>
          </w:tcPr>
          <w:p w14:paraId="73B20A9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 (4%)</w:t>
            </w:r>
          </w:p>
        </w:tc>
      </w:tr>
      <w:tr w:rsidR="00D034CB" w:rsidRPr="00B77D60" w14:paraId="7F2F1BFA" w14:textId="77777777" w:rsidTr="00943A4F">
        <w:trPr>
          <w:trHeight w:val="274"/>
        </w:trPr>
        <w:tc>
          <w:tcPr>
            <w:tcW w:w="9062" w:type="dxa"/>
            <w:gridSpan w:val="6"/>
            <w:shd w:val="clear" w:color="auto" w:fill="auto"/>
          </w:tcPr>
          <w:p w14:paraId="6D7A12C6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/>
              </w:rPr>
              <w:t xml:space="preserve">Management </w:t>
            </w:r>
            <w:proofErr w:type="spellStart"/>
            <w:r w:rsidRPr="00B77D60">
              <w:rPr>
                <w:rFonts w:ascii="Cambria" w:hAnsi="Cambria" w:cs="Calibri"/>
                <w:b/>
              </w:rPr>
              <w:t>of</w:t>
            </w:r>
            <w:proofErr w:type="spellEnd"/>
            <w:r w:rsidRPr="00B77D60">
              <w:rPr>
                <w:rFonts w:ascii="Cambria" w:hAnsi="Cambria" w:cs="Calibri"/>
                <w:b/>
              </w:rPr>
              <w:t xml:space="preserve"> COIs</w:t>
            </w:r>
          </w:p>
        </w:tc>
      </w:tr>
      <w:tr w:rsidR="00D034CB" w:rsidRPr="00B77D60" w14:paraId="693CD8AF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4D51554F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A process for the management of COIs is described in the guidance document?</w:t>
            </w:r>
          </w:p>
        </w:tc>
        <w:tc>
          <w:tcPr>
            <w:tcW w:w="1362" w:type="dxa"/>
            <w:shd w:val="clear" w:color="auto" w:fill="auto"/>
          </w:tcPr>
          <w:p w14:paraId="44428B8B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hAnsi="Cambria" w:cs="Calibri"/>
                <w:bCs/>
                <w:lang w:val="en-US"/>
              </w:rPr>
            </w:pPr>
          </w:p>
          <w:p w14:paraId="47F0372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hAnsi="Cambria" w:cs="Calibri"/>
                <w:bCs/>
              </w:rPr>
            </w:pPr>
            <w:r w:rsidRPr="00B77D60">
              <w:rPr>
                <w:rFonts w:ascii="Cambria" w:hAnsi="Cambria" w:cs="Calibri"/>
                <w:bCs/>
              </w:rPr>
              <w:t>40 (59%)</w:t>
            </w:r>
          </w:p>
          <w:p w14:paraId="65809CF8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</w:p>
        </w:tc>
        <w:tc>
          <w:tcPr>
            <w:tcW w:w="1485" w:type="dxa"/>
            <w:shd w:val="clear" w:color="auto" w:fill="auto"/>
          </w:tcPr>
          <w:p w14:paraId="1212D314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28 (62%)</w:t>
            </w:r>
          </w:p>
        </w:tc>
        <w:tc>
          <w:tcPr>
            <w:tcW w:w="1361" w:type="dxa"/>
            <w:shd w:val="clear" w:color="auto" w:fill="auto"/>
          </w:tcPr>
          <w:p w14:paraId="773858D7" w14:textId="77777777" w:rsidR="00D034CB" w:rsidRPr="00B77D60" w:rsidRDefault="00D034CB" w:rsidP="00943A4F">
            <w:pPr>
              <w:spacing w:after="0" w:line="240" w:lineRule="auto"/>
              <w:jc w:val="center"/>
              <w:rPr>
                <w:rFonts w:ascii="Cambria" w:hAnsi="Cambria" w:cs="Calibri"/>
                <w:bCs/>
              </w:rPr>
            </w:pPr>
          </w:p>
          <w:p w14:paraId="47B5213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15 (79%)</w:t>
            </w:r>
          </w:p>
        </w:tc>
        <w:tc>
          <w:tcPr>
            <w:tcW w:w="1361" w:type="dxa"/>
            <w:shd w:val="clear" w:color="auto" w:fill="auto"/>
          </w:tcPr>
          <w:p w14:paraId="0AC95285" w14:textId="77777777" w:rsidR="00D034CB" w:rsidRPr="00B77D60" w:rsidRDefault="00D034CB" w:rsidP="00943A4F">
            <w:pPr>
              <w:spacing w:after="0" w:line="240" w:lineRule="auto"/>
              <w:jc w:val="center"/>
              <w:rPr>
                <w:rFonts w:ascii="Cambria" w:hAnsi="Cambria" w:cs="Calibri"/>
                <w:bCs/>
              </w:rPr>
            </w:pPr>
          </w:p>
          <w:p w14:paraId="686F699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13 (50%)</w:t>
            </w:r>
          </w:p>
        </w:tc>
        <w:tc>
          <w:tcPr>
            <w:tcW w:w="1361" w:type="dxa"/>
            <w:shd w:val="clear" w:color="auto" w:fill="auto"/>
          </w:tcPr>
          <w:p w14:paraId="1533C02C" w14:textId="77777777" w:rsidR="00D034CB" w:rsidRPr="00B77D60" w:rsidRDefault="00D034CB" w:rsidP="00943A4F">
            <w:pPr>
              <w:spacing w:after="0" w:line="240" w:lineRule="auto"/>
              <w:jc w:val="center"/>
              <w:rPr>
                <w:rFonts w:ascii="Cambria" w:hAnsi="Cambria" w:cs="Calibri"/>
                <w:bCs/>
              </w:rPr>
            </w:pPr>
          </w:p>
          <w:p w14:paraId="7D600F6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12 (52%)</w:t>
            </w:r>
          </w:p>
        </w:tc>
      </w:tr>
      <w:tr w:rsidR="00D034CB" w:rsidRPr="000806C5" w14:paraId="7B131F85" w14:textId="77777777" w:rsidTr="00943A4F">
        <w:trPr>
          <w:trHeight w:val="274"/>
        </w:trPr>
        <w:tc>
          <w:tcPr>
            <w:tcW w:w="9062" w:type="dxa"/>
            <w:gridSpan w:val="6"/>
            <w:shd w:val="clear" w:color="auto" w:fill="auto"/>
          </w:tcPr>
          <w:p w14:paraId="5E5196CD" w14:textId="77777777" w:rsidR="00D034CB" w:rsidRPr="007D1339" w:rsidRDefault="00D034CB" w:rsidP="00943A4F">
            <w:pPr>
              <w:spacing w:after="0" w:line="240" w:lineRule="auto"/>
              <w:rPr>
                <w:rFonts w:ascii="Cambria" w:hAnsi="Cambria" w:cs="Calibri"/>
                <w:bCs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lastRenderedPageBreak/>
              <w:t>Does the guidance document include the consideration of panel’s conflict of interests?</w:t>
            </w:r>
          </w:p>
        </w:tc>
      </w:tr>
      <w:tr w:rsidR="00D034CB" w:rsidRPr="00B77D60" w14:paraId="08A40029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27AD247C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Financial COIs</w:t>
            </w:r>
          </w:p>
        </w:tc>
        <w:tc>
          <w:tcPr>
            <w:tcW w:w="1362" w:type="dxa"/>
            <w:shd w:val="clear" w:color="auto" w:fill="auto"/>
          </w:tcPr>
          <w:p w14:paraId="385D6391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32 (47%)</w:t>
            </w:r>
          </w:p>
        </w:tc>
        <w:tc>
          <w:tcPr>
            <w:tcW w:w="1485" w:type="dxa"/>
            <w:shd w:val="clear" w:color="auto" w:fill="auto"/>
          </w:tcPr>
          <w:p w14:paraId="71C18631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24 (53%)</w:t>
            </w:r>
          </w:p>
        </w:tc>
        <w:tc>
          <w:tcPr>
            <w:tcW w:w="1361" w:type="dxa"/>
            <w:shd w:val="clear" w:color="auto" w:fill="auto"/>
          </w:tcPr>
          <w:p w14:paraId="284601CF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14 (74%)</w:t>
            </w:r>
          </w:p>
        </w:tc>
        <w:tc>
          <w:tcPr>
            <w:tcW w:w="1361" w:type="dxa"/>
            <w:shd w:val="clear" w:color="auto" w:fill="auto"/>
          </w:tcPr>
          <w:p w14:paraId="20C02D5B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10 (38%)</w:t>
            </w:r>
          </w:p>
        </w:tc>
        <w:tc>
          <w:tcPr>
            <w:tcW w:w="1361" w:type="dxa"/>
            <w:shd w:val="clear" w:color="auto" w:fill="auto"/>
          </w:tcPr>
          <w:p w14:paraId="0798B6A8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(35%)</w:t>
            </w:r>
          </w:p>
        </w:tc>
      </w:tr>
      <w:tr w:rsidR="00D034CB" w:rsidRPr="00B77D60" w14:paraId="31470862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16A6D00E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Non-</w:t>
            </w:r>
            <w:proofErr w:type="spellStart"/>
            <w:r w:rsidRPr="00B77D60">
              <w:rPr>
                <w:rFonts w:ascii="Cambria" w:hAnsi="Cambria" w:cs="Calibri"/>
                <w:bCs/>
              </w:rPr>
              <w:t>financial</w:t>
            </w:r>
            <w:proofErr w:type="spellEnd"/>
            <w:r w:rsidRPr="00B77D60">
              <w:rPr>
                <w:rFonts w:ascii="Cambria" w:hAnsi="Cambria" w:cs="Calibri"/>
                <w:bCs/>
              </w:rPr>
              <w:t xml:space="preserve"> COIs</w:t>
            </w:r>
          </w:p>
        </w:tc>
        <w:tc>
          <w:tcPr>
            <w:tcW w:w="1362" w:type="dxa"/>
            <w:shd w:val="clear" w:color="auto" w:fill="auto"/>
          </w:tcPr>
          <w:p w14:paraId="1888748B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30 (44%)</w:t>
            </w:r>
          </w:p>
        </w:tc>
        <w:tc>
          <w:tcPr>
            <w:tcW w:w="1485" w:type="dxa"/>
            <w:shd w:val="clear" w:color="auto" w:fill="auto"/>
          </w:tcPr>
          <w:p w14:paraId="45EBA89A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22 (49%)</w:t>
            </w:r>
          </w:p>
        </w:tc>
        <w:tc>
          <w:tcPr>
            <w:tcW w:w="1361" w:type="dxa"/>
            <w:shd w:val="clear" w:color="auto" w:fill="auto"/>
          </w:tcPr>
          <w:p w14:paraId="7CAFE6F2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13 (69%)</w:t>
            </w:r>
          </w:p>
        </w:tc>
        <w:tc>
          <w:tcPr>
            <w:tcW w:w="1361" w:type="dxa"/>
            <w:shd w:val="clear" w:color="auto" w:fill="auto"/>
          </w:tcPr>
          <w:p w14:paraId="033BCB4D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9 (35%)</w:t>
            </w:r>
          </w:p>
        </w:tc>
        <w:tc>
          <w:tcPr>
            <w:tcW w:w="1361" w:type="dxa"/>
            <w:shd w:val="clear" w:color="auto" w:fill="auto"/>
          </w:tcPr>
          <w:p w14:paraId="27F3065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(35%)</w:t>
            </w:r>
          </w:p>
        </w:tc>
      </w:tr>
      <w:tr w:rsidR="00D034CB" w:rsidRPr="000806C5" w14:paraId="20BAD4E9" w14:textId="77777777" w:rsidTr="00943A4F">
        <w:trPr>
          <w:trHeight w:val="274"/>
        </w:trPr>
        <w:tc>
          <w:tcPr>
            <w:tcW w:w="9062" w:type="dxa"/>
            <w:gridSpan w:val="6"/>
            <w:shd w:val="clear" w:color="auto" w:fill="auto"/>
          </w:tcPr>
          <w:p w14:paraId="0D195ABE" w14:textId="77777777" w:rsidR="00D034CB" w:rsidRPr="007D1339" w:rsidRDefault="00D034CB" w:rsidP="00943A4F">
            <w:pPr>
              <w:spacing w:after="0" w:line="240" w:lineRule="auto"/>
              <w:rPr>
                <w:rFonts w:ascii="Cambria" w:hAnsi="Cambria" w:cs="Calibri"/>
                <w:bCs/>
                <w:lang w:val="en-US"/>
              </w:rPr>
            </w:pPr>
            <w:r w:rsidRPr="00B77D60">
              <w:rPr>
                <w:rFonts w:ascii="Cambria" w:hAnsi="Cambria" w:cs="Calibri"/>
                <w:bCs/>
                <w:lang w:val="en-US"/>
              </w:rPr>
              <w:t>Is there a specific guidance for panelists with specific conflict of interests?</w:t>
            </w:r>
          </w:p>
        </w:tc>
      </w:tr>
      <w:tr w:rsidR="00D034CB" w:rsidRPr="00B77D60" w14:paraId="6C1777D2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3A86B6BA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Financial COIs</w:t>
            </w:r>
          </w:p>
        </w:tc>
        <w:tc>
          <w:tcPr>
            <w:tcW w:w="1362" w:type="dxa"/>
            <w:shd w:val="clear" w:color="auto" w:fill="auto"/>
          </w:tcPr>
          <w:p w14:paraId="5D1CCD5E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17 (25%)</w:t>
            </w:r>
          </w:p>
        </w:tc>
        <w:tc>
          <w:tcPr>
            <w:tcW w:w="1485" w:type="dxa"/>
            <w:shd w:val="clear" w:color="auto" w:fill="auto"/>
          </w:tcPr>
          <w:p w14:paraId="34FF7A26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13 (29%)</w:t>
            </w:r>
          </w:p>
        </w:tc>
        <w:tc>
          <w:tcPr>
            <w:tcW w:w="1361" w:type="dxa"/>
            <w:shd w:val="clear" w:color="auto" w:fill="auto"/>
          </w:tcPr>
          <w:p w14:paraId="47FDC5F7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5 (26%)</w:t>
            </w:r>
          </w:p>
        </w:tc>
        <w:tc>
          <w:tcPr>
            <w:tcW w:w="1361" w:type="dxa"/>
            <w:shd w:val="clear" w:color="auto" w:fill="auto"/>
          </w:tcPr>
          <w:p w14:paraId="6DA07D7A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8 (31%)</w:t>
            </w:r>
          </w:p>
        </w:tc>
        <w:tc>
          <w:tcPr>
            <w:tcW w:w="1361" w:type="dxa"/>
            <w:shd w:val="clear" w:color="auto" w:fill="auto"/>
          </w:tcPr>
          <w:p w14:paraId="40FAAEFA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4 (17%)</w:t>
            </w:r>
          </w:p>
        </w:tc>
      </w:tr>
      <w:tr w:rsidR="00D034CB" w:rsidRPr="00B77D60" w14:paraId="51CCA17E" w14:textId="77777777" w:rsidTr="00943A4F">
        <w:trPr>
          <w:trHeight w:val="274"/>
        </w:trPr>
        <w:tc>
          <w:tcPr>
            <w:tcW w:w="2132" w:type="dxa"/>
            <w:shd w:val="clear" w:color="auto" w:fill="auto"/>
          </w:tcPr>
          <w:p w14:paraId="5B5CACAC" w14:textId="77777777" w:rsidR="00D034CB" w:rsidRPr="00B77D60" w:rsidRDefault="00D034CB" w:rsidP="00943A4F">
            <w:pPr>
              <w:spacing w:after="0" w:line="276" w:lineRule="auto"/>
              <w:rPr>
                <w:rFonts w:ascii="Cambria" w:eastAsia="MS Mincho" w:hAnsi="Cambria" w:cs="Calibri"/>
                <w:b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Non-</w:t>
            </w:r>
            <w:proofErr w:type="spellStart"/>
            <w:r w:rsidRPr="00B77D60">
              <w:rPr>
                <w:rFonts w:ascii="Cambria" w:hAnsi="Cambria" w:cs="Calibri"/>
                <w:bCs/>
              </w:rPr>
              <w:t>financial</w:t>
            </w:r>
            <w:proofErr w:type="spellEnd"/>
            <w:r w:rsidRPr="00B77D60">
              <w:rPr>
                <w:rFonts w:ascii="Cambria" w:hAnsi="Cambria" w:cs="Calibri"/>
                <w:bCs/>
              </w:rPr>
              <w:t xml:space="preserve"> COIs</w:t>
            </w:r>
          </w:p>
        </w:tc>
        <w:tc>
          <w:tcPr>
            <w:tcW w:w="1362" w:type="dxa"/>
            <w:shd w:val="clear" w:color="auto" w:fill="auto"/>
          </w:tcPr>
          <w:p w14:paraId="0D592638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17 (25%)</w:t>
            </w:r>
          </w:p>
        </w:tc>
        <w:tc>
          <w:tcPr>
            <w:tcW w:w="1485" w:type="dxa"/>
            <w:shd w:val="clear" w:color="auto" w:fill="auto"/>
          </w:tcPr>
          <w:p w14:paraId="301BDCC1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eastAsia="MS Mincho" w:hAnsi="Cambria" w:cs="Calibri"/>
                <w:szCs w:val="24"/>
                <w:lang w:val="en-US"/>
              </w:rPr>
              <w:t>13 (29%)</w:t>
            </w:r>
          </w:p>
        </w:tc>
        <w:tc>
          <w:tcPr>
            <w:tcW w:w="1361" w:type="dxa"/>
            <w:shd w:val="clear" w:color="auto" w:fill="auto"/>
          </w:tcPr>
          <w:p w14:paraId="37F0AA9C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6 (32%)</w:t>
            </w:r>
          </w:p>
        </w:tc>
        <w:tc>
          <w:tcPr>
            <w:tcW w:w="1361" w:type="dxa"/>
            <w:shd w:val="clear" w:color="auto" w:fill="auto"/>
          </w:tcPr>
          <w:p w14:paraId="26CDFBFD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7 (27%)</w:t>
            </w:r>
          </w:p>
        </w:tc>
        <w:tc>
          <w:tcPr>
            <w:tcW w:w="1361" w:type="dxa"/>
            <w:shd w:val="clear" w:color="auto" w:fill="auto"/>
          </w:tcPr>
          <w:p w14:paraId="4748E02B" w14:textId="77777777" w:rsidR="00D034CB" w:rsidRPr="00B77D60" w:rsidRDefault="00D034CB" w:rsidP="00943A4F">
            <w:pPr>
              <w:spacing w:after="0" w:line="276" w:lineRule="auto"/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B77D60">
              <w:rPr>
                <w:rFonts w:ascii="Cambria" w:hAnsi="Cambria" w:cs="Calibri"/>
                <w:bCs/>
              </w:rPr>
              <w:t>4 (17%)</w:t>
            </w:r>
          </w:p>
        </w:tc>
      </w:tr>
    </w:tbl>
    <w:p w14:paraId="325C50BE" w14:textId="77777777" w:rsidR="00D034CB" w:rsidRPr="00B77D60" w:rsidRDefault="00D034CB" w:rsidP="00D034CB">
      <w:pPr>
        <w:outlineLvl w:val="0"/>
        <w:rPr>
          <w:rFonts w:ascii="Cambria" w:hAnsi="Cambria" w:cs="Calibri"/>
          <w:lang w:val="en-US"/>
        </w:rPr>
      </w:pPr>
    </w:p>
    <w:p w14:paraId="7B22F911" w14:textId="77777777" w:rsidR="00954A71" w:rsidRDefault="00954A71"/>
    <w:sectPr w:rsidR="00954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46879"/>
    <w:multiLevelType w:val="hybridMultilevel"/>
    <w:tmpl w:val="8E1E9AFA"/>
    <w:lvl w:ilvl="0" w:tplc="C8888C8E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4CB"/>
    <w:rsid w:val="002377F7"/>
    <w:rsid w:val="00541B04"/>
    <w:rsid w:val="00954A71"/>
    <w:rsid w:val="009974EC"/>
    <w:rsid w:val="00D0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2AEAD"/>
  <w15:chartTrackingRefBased/>
  <w15:docId w15:val="{5BD4066F-3D75-444C-9723-D0C01EE11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4CB"/>
    <w:rPr>
      <w:rFonts w:ascii="Calibri" w:eastAsia="Calibri" w:hAnsi="Calibri" w:cs="Ari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Fargeriklisteuthevingsfarge11">
    <w:name w:val="Fargerik liste – uthevingsfarge 11"/>
    <w:basedOn w:val="Normal"/>
    <w:uiPriority w:val="34"/>
    <w:qFormat/>
    <w:rsid w:val="00D034CB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736</Words>
  <Characters>3903</Characters>
  <Application>Microsoft Office Word</Application>
  <DocSecurity>0</DocSecurity>
  <Lines>32</Lines>
  <Paragraphs>9</Paragraphs>
  <ScaleCrop>false</ScaleCrop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2021-11-17T13:08:00Z</dcterms:created>
  <dcterms:modified xsi:type="dcterms:W3CDTF">2021-11-17T13:08:00Z</dcterms:modified>
</cp:coreProperties>
</file>