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78C91" w14:textId="77777777" w:rsidR="00C65ED4" w:rsidRPr="00E11283" w:rsidRDefault="00C65ED4" w:rsidP="00C65ED4">
      <w:pPr>
        <w:spacing w:line="360" w:lineRule="auto"/>
        <w:jc w:val="both"/>
        <w:rPr>
          <w:b/>
          <w:lang w:val="en-GB"/>
        </w:rPr>
      </w:pPr>
      <w:r w:rsidRPr="00E11283">
        <w:rPr>
          <w:b/>
          <w:lang w:val="en-GB"/>
        </w:rPr>
        <w:t>Supplemental information titles and legends</w:t>
      </w:r>
    </w:p>
    <w:p w14:paraId="4DB85B63" w14:textId="77777777" w:rsidR="00C65ED4" w:rsidRPr="00E11283" w:rsidRDefault="00C65ED4" w:rsidP="00C65ED4">
      <w:pPr>
        <w:spacing w:line="360" w:lineRule="auto"/>
        <w:jc w:val="both"/>
        <w:rPr>
          <w:b/>
          <w:lang w:val="en-GB"/>
        </w:rPr>
      </w:pPr>
    </w:p>
    <w:p w14:paraId="3496B999" w14:textId="77777777" w:rsidR="00C65ED4" w:rsidRPr="00E11283" w:rsidRDefault="00C65ED4" w:rsidP="00C65ED4">
      <w:pPr>
        <w:spacing w:line="360" w:lineRule="auto"/>
        <w:jc w:val="both"/>
        <w:rPr>
          <w:rFonts w:eastAsia="Calibri"/>
          <w:b/>
          <w:bCs/>
          <w:lang w:val="en-GB"/>
        </w:rPr>
      </w:pPr>
    </w:p>
    <w:p w14:paraId="155AEF76" w14:textId="77777777" w:rsidR="00C65ED4" w:rsidRPr="00E11283" w:rsidRDefault="00C65ED4" w:rsidP="00C65ED4">
      <w:pPr>
        <w:jc w:val="both"/>
        <w:rPr>
          <w:b/>
          <w:lang w:val="en-GB"/>
        </w:rPr>
      </w:pPr>
      <w:r w:rsidRPr="00E11283">
        <w:rPr>
          <w:b/>
          <w:noProof/>
          <w:lang w:val="en-GB" w:eastAsia="en-GB"/>
        </w:rPr>
        <w:drawing>
          <wp:inline distT="0" distB="0" distL="0" distR="0" wp14:anchorId="0443BE2E" wp14:editId="35E39413">
            <wp:extent cx="4828032" cy="1981877"/>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855471" cy="1993140"/>
                    </a:xfrm>
                    <a:prstGeom prst="rect">
                      <a:avLst/>
                    </a:prstGeom>
                  </pic:spPr>
                </pic:pic>
              </a:graphicData>
            </a:graphic>
          </wp:inline>
        </w:drawing>
      </w:r>
    </w:p>
    <w:p w14:paraId="5CA14347" w14:textId="77777777" w:rsidR="00C65ED4" w:rsidRPr="00E11283" w:rsidRDefault="00C65ED4" w:rsidP="00C65ED4">
      <w:pPr>
        <w:jc w:val="both"/>
        <w:rPr>
          <w:lang w:val="en-GB"/>
        </w:rPr>
      </w:pPr>
      <w:r w:rsidRPr="00E11283">
        <w:rPr>
          <w:b/>
          <w:u w:val="single"/>
          <w:lang w:val="en-GB"/>
        </w:rPr>
        <w:t>Supplementary figure 1</w:t>
      </w:r>
      <w:r w:rsidRPr="00E11283">
        <w:rPr>
          <w:b/>
          <w:lang w:val="en-GB"/>
        </w:rPr>
        <w:t>: Cytotoxicity of 3-oxo-C12:2-HSL in immune cells</w:t>
      </w:r>
      <w:r w:rsidRPr="00E11283">
        <w:rPr>
          <w:lang w:val="en-GB"/>
        </w:rPr>
        <w:t xml:space="preserve">. Activated RAW264.7 (a) and PBMC obtained from 12 healthy donors (b). Cells were treated in the same culture conditions as in figure A. Cytotoxicity is expressed as arbitrary units representing LDH released in the media. (mean ± SEM, (a) triplicates from 3 independent experiments (b) triplicate from 12 healthy </w:t>
      </w:r>
      <w:proofErr w:type="spellStart"/>
      <w:r w:rsidRPr="00E11283">
        <w:rPr>
          <w:lang w:val="en-GB"/>
        </w:rPr>
        <w:t>donnors</w:t>
      </w:r>
      <w:proofErr w:type="spellEnd"/>
      <w:r w:rsidRPr="00E11283">
        <w:rPr>
          <w:lang w:val="en-GB"/>
        </w:rPr>
        <w:t>)</w:t>
      </w:r>
    </w:p>
    <w:p w14:paraId="319EEA96" w14:textId="77777777" w:rsidR="00C65ED4" w:rsidRPr="00E11283" w:rsidRDefault="00C65ED4" w:rsidP="00C65ED4">
      <w:pPr>
        <w:spacing w:after="160" w:line="259" w:lineRule="auto"/>
        <w:rPr>
          <w:b/>
          <w:u w:val="single"/>
          <w:lang w:val="en-GB"/>
        </w:rPr>
      </w:pPr>
      <w:r w:rsidRPr="00E11283">
        <w:rPr>
          <w:b/>
          <w:u w:val="single"/>
          <w:lang w:val="en-GB"/>
        </w:rPr>
        <w:br w:type="page"/>
      </w:r>
    </w:p>
    <w:p w14:paraId="389A56A2" w14:textId="77777777" w:rsidR="00C65ED4" w:rsidRPr="00E11283" w:rsidRDefault="00C65ED4" w:rsidP="00C65ED4">
      <w:pPr>
        <w:jc w:val="both"/>
        <w:rPr>
          <w:b/>
          <w:u w:val="single"/>
          <w:lang w:val="en-GB"/>
        </w:rPr>
      </w:pPr>
      <w:r w:rsidRPr="00E11283">
        <w:rPr>
          <w:b/>
          <w:noProof/>
          <w:lang w:val="en-GB" w:eastAsia="en-GB"/>
        </w:rPr>
        <w:lastRenderedPageBreak/>
        <w:drawing>
          <wp:inline distT="0" distB="0" distL="0" distR="0" wp14:anchorId="76B45A91" wp14:editId="00035953">
            <wp:extent cx="5127705" cy="790734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27705" cy="7907345"/>
                    </a:xfrm>
                    <a:prstGeom prst="rect">
                      <a:avLst/>
                    </a:prstGeom>
                  </pic:spPr>
                </pic:pic>
              </a:graphicData>
            </a:graphic>
          </wp:inline>
        </w:drawing>
      </w:r>
    </w:p>
    <w:p w14:paraId="13FA4C09" w14:textId="77777777" w:rsidR="00C65ED4" w:rsidRPr="00171916" w:rsidRDefault="00C65ED4" w:rsidP="00C65ED4">
      <w:pPr>
        <w:jc w:val="both"/>
        <w:rPr>
          <w:lang w:val="en-GB"/>
        </w:rPr>
      </w:pPr>
      <w:r w:rsidRPr="00E11283">
        <w:rPr>
          <w:b/>
          <w:u w:val="single"/>
          <w:lang w:val="en-GB"/>
        </w:rPr>
        <w:t>Supplementary figure 2</w:t>
      </w:r>
      <w:r w:rsidRPr="00E11283">
        <w:rPr>
          <w:lang w:val="en-GB"/>
        </w:rPr>
        <w:t xml:space="preserve">: </w:t>
      </w:r>
      <w:r w:rsidRPr="00E11283">
        <w:rPr>
          <w:b/>
          <w:lang w:val="en-GB"/>
        </w:rPr>
        <w:t>KEGG pathways differentially modulated by 3-oxo-C12:2-HSL</w:t>
      </w:r>
      <w:r w:rsidRPr="00E11283">
        <w:rPr>
          <w:lang w:val="en-GB"/>
        </w:rPr>
        <w:t>. The red and green bars represent down-regulated and up regulated pathways respectively.</w:t>
      </w:r>
      <w:r w:rsidRPr="00171916">
        <w:rPr>
          <w:lang w:val="en-GB"/>
        </w:rPr>
        <w:t xml:space="preserve"> </w:t>
      </w:r>
    </w:p>
    <w:p w14:paraId="36DF8E17" w14:textId="129B579A" w:rsidR="009B7FE6" w:rsidRDefault="009B7FE6">
      <w:r>
        <w:br w:type="page"/>
      </w:r>
    </w:p>
    <w:p w14:paraId="3874962E" w14:textId="582807D8" w:rsidR="009B7FE6" w:rsidRPr="009B7FE6" w:rsidRDefault="009B7FE6">
      <w:pPr>
        <w:rPr>
          <w:rFonts w:ascii="Arial" w:hAnsi="Arial" w:cs="Arial"/>
          <w:sz w:val="36"/>
          <w:szCs w:val="36"/>
        </w:rPr>
      </w:pPr>
      <w:r>
        <w:rPr>
          <w:noProof/>
        </w:rPr>
        <w:lastRenderedPageBreak/>
        <w:drawing>
          <wp:anchor distT="0" distB="0" distL="114300" distR="114300" simplePos="0" relativeHeight="251658240" behindDoc="0" locked="0" layoutInCell="1" allowOverlap="1" wp14:anchorId="62BC4799" wp14:editId="6AE14CC1">
            <wp:simplePos x="0" y="0"/>
            <wp:positionH relativeFrom="column">
              <wp:posOffset>-181852</wp:posOffset>
            </wp:positionH>
            <wp:positionV relativeFrom="paragraph">
              <wp:posOffset>298450</wp:posOffset>
            </wp:positionV>
            <wp:extent cx="6838950" cy="6825372"/>
            <wp:effectExtent l="0" t="0" r="0"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6838950" cy="6825372"/>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9B7FE6">
        <w:rPr>
          <w:rFonts w:ascii="Arial" w:hAnsi="Arial" w:cs="Arial"/>
          <w:sz w:val="36"/>
          <w:szCs w:val="36"/>
        </w:rPr>
        <w:t>Supplementary</w:t>
      </w:r>
      <w:proofErr w:type="spellEnd"/>
      <w:r w:rsidRPr="009B7FE6">
        <w:rPr>
          <w:rFonts w:ascii="Arial" w:hAnsi="Arial" w:cs="Arial"/>
          <w:sz w:val="36"/>
          <w:szCs w:val="36"/>
        </w:rPr>
        <w:t xml:space="preserve"> figure 3</w:t>
      </w:r>
    </w:p>
    <w:p w14:paraId="2BD02CAD" w14:textId="6CA5938B" w:rsidR="009B7FE6" w:rsidRDefault="009B7FE6"/>
    <w:p w14:paraId="6C7C7A19" w14:textId="3F48C3AA" w:rsidR="007C1B60" w:rsidRDefault="009B7FE6" w:rsidP="009B7FE6">
      <w:pPr>
        <w:jc w:val="both"/>
      </w:pPr>
      <w:r w:rsidRPr="00E11283">
        <w:rPr>
          <w:b/>
          <w:u w:val="single"/>
          <w:lang w:val="en-GB"/>
        </w:rPr>
        <w:t xml:space="preserve">Supplementary figure </w:t>
      </w:r>
      <w:r>
        <w:rPr>
          <w:b/>
          <w:u w:val="single"/>
          <w:lang w:val="en-GB"/>
        </w:rPr>
        <w:t>3</w:t>
      </w:r>
      <w:r w:rsidRPr="00E11283">
        <w:rPr>
          <w:lang w:val="en-GB"/>
        </w:rPr>
        <w:t xml:space="preserve">: </w:t>
      </w:r>
      <w:r w:rsidRPr="009B7FE6">
        <w:rPr>
          <w:b/>
          <w:bCs/>
          <w:lang w:val="en-GB"/>
        </w:rPr>
        <w:t>Reconstructed images from Simple Western analysis of protein levels</w:t>
      </w:r>
      <w:r>
        <w:rPr>
          <w:b/>
          <w:bCs/>
          <w:lang w:val="en-GB"/>
        </w:rPr>
        <w:t>.</w:t>
      </w:r>
      <w:r w:rsidRPr="00E11283">
        <w:rPr>
          <w:lang w:val="en-GB"/>
        </w:rPr>
        <w:t xml:space="preserve"> </w:t>
      </w:r>
      <w:r>
        <w:rPr>
          <w:lang w:val="en-GB"/>
        </w:rPr>
        <w:t>A</w:t>
      </w:r>
      <w:r w:rsidRPr="00E11283">
        <w:rPr>
          <w:lang w:val="en-GB"/>
        </w:rPr>
        <w:t>ctin used as housekeeping protein are displayed. They are based on the area under the chemiluminescence signal curve obtained for one experiment, representative of 4 independent experiments performed in duplicates. Molecular markers are indicated on the left (</w:t>
      </w:r>
      <w:proofErr w:type="spellStart"/>
      <w:r w:rsidRPr="00E11283">
        <w:rPr>
          <w:lang w:val="en-GB"/>
        </w:rPr>
        <w:t>kDa</w:t>
      </w:r>
      <w:proofErr w:type="spellEnd"/>
      <w:r w:rsidRPr="00E11283">
        <w:rPr>
          <w:lang w:val="en-GB"/>
        </w:rPr>
        <w:t>). 3oC12:2 stands for 3-oxo-C12:2-HSL.</w:t>
      </w:r>
    </w:p>
    <w:sectPr w:rsidR="007C1B60" w:rsidSect="00C17AF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8D4"/>
    <w:rsid w:val="001463AB"/>
    <w:rsid w:val="0052243F"/>
    <w:rsid w:val="005B40FC"/>
    <w:rsid w:val="006648D4"/>
    <w:rsid w:val="00702751"/>
    <w:rsid w:val="00704C51"/>
    <w:rsid w:val="00744996"/>
    <w:rsid w:val="009B7FE6"/>
    <w:rsid w:val="00A00CC7"/>
    <w:rsid w:val="00C17AF6"/>
    <w:rsid w:val="00C65E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DA0C8"/>
  <w15:chartTrackingRefBased/>
  <w15:docId w15:val="{C09B3959-FDF1-1540-8D00-624845F36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ED4"/>
    <w:rPr>
      <w:rFonts w:ascii="Times New Roman" w:eastAsia="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160</Words>
  <Characters>880</Characters>
  <Application>Microsoft Office Word</Application>
  <DocSecurity>0</DocSecurity>
  <Lines>7</Lines>
  <Paragraphs>2</Paragraphs>
  <ScaleCrop>false</ScaleCrop>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Garance Coquant</dc:creator>
  <cp:keywords/>
  <dc:description/>
  <cp:lastModifiedBy>Garance Coquant</cp:lastModifiedBy>
  <cp:revision>3</cp:revision>
  <dcterms:created xsi:type="dcterms:W3CDTF">2021-12-28T13:00:00Z</dcterms:created>
  <dcterms:modified xsi:type="dcterms:W3CDTF">2021-12-28T13:31:00Z</dcterms:modified>
</cp:coreProperties>
</file>