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5294B" w14:textId="77777777" w:rsidR="00BF76B4" w:rsidRPr="00F55818" w:rsidRDefault="00BF76B4" w:rsidP="00BF76B4">
      <w:pPr>
        <w:rPr>
          <w:rFonts w:ascii="Garamond" w:hAnsi="Garamond"/>
          <w:b/>
          <w:bCs/>
        </w:rPr>
      </w:pPr>
      <w:r w:rsidRPr="00F55818">
        <w:rPr>
          <w:rFonts w:ascii="Garamond" w:hAnsi="Garamond"/>
          <w:b/>
          <w:bCs/>
          <w:noProof/>
        </w:rPr>
        <w:drawing>
          <wp:inline distT="0" distB="0" distL="0" distR="0" wp14:anchorId="13A1AC94" wp14:editId="3C666017">
            <wp:extent cx="5943600" cy="3343275"/>
            <wp:effectExtent l="0" t="0" r="0" b="0"/>
            <wp:docPr id="58" name="Picture 5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Dia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DE982" w14:textId="77777777" w:rsidR="00BF76B4" w:rsidRPr="00F55818" w:rsidRDefault="00BF76B4" w:rsidP="00BF76B4">
      <w:pPr>
        <w:rPr>
          <w:rFonts w:ascii="Garamond" w:hAnsi="Garamond"/>
          <w:b/>
          <w:bCs/>
        </w:rPr>
      </w:pPr>
    </w:p>
    <w:p w14:paraId="0A13C9BE" w14:textId="77777777" w:rsidR="00BF76B4" w:rsidRPr="00F55818" w:rsidRDefault="00BF76B4" w:rsidP="00BF76B4">
      <w:pPr>
        <w:rPr>
          <w:rFonts w:ascii="Garamond" w:hAnsi="Garamond"/>
          <w:b/>
          <w:bCs/>
        </w:rPr>
      </w:pPr>
    </w:p>
    <w:p w14:paraId="342F2344" w14:textId="77777777" w:rsidR="00BF76B4" w:rsidRPr="00F55818" w:rsidRDefault="00BF76B4" w:rsidP="00BF76B4">
      <w:pPr>
        <w:rPr>
          <w:rFonts w:ascii="Garamond" w:hAnsi="Garamond"/>
          <w:b/>
          <w:bCs/>
        </w:rPr>
      </w:pPr>
    </w:p>
    <w:p w14:paraId="0F68A5BF" w14:textId="11A85A4B" w:rsidR="00BF76B4" w:rsidRDefault="00BF76B4" w:rsidP="00BF76B4">
      <w:pPr>
        <w:rPr>
          <w:rFonts w:ascii="Garamond" w:hAnsi="Garamond"/>
        </w:rPr>
      </w:pPr>
      <w:r>
        <w:rPr>
          <w:rFonts w:ascii="Garamond" w:hAnsi="Garamond"/>
          <w:b/>
          <w:bCs/>
        </w:rPr>
        <w:t xml:space="preserve">Supplementary </w:t>
      </w:r>
      <w:r w:rsidRPr="00F55818">
        <w:rPr>
          <w:rFonts w:ascii="Garamond" w:hAnsi="Garamond"/>
          <w:b/>
          <w:bCs/>
        </w:rPr>
        <w:t xml:space="preserve">Figure </w:t>
      </w:r>
      <w:r>
        <w:rPr>
          <w:rFonts w:ascii="Garamond" w:hAnsi="Garamond"/>
          <w:b/>
          <w:bCs/>
        </w:rPr>
        <w:t>1</w:t>
      </w:r>
      <w:r w:rsidRPr="00F55818">
        <w:rPr>
          <w:rFonts w:ascii="Garamond" w:hAnsi="Garamond"/>
          <w:b/>
          <w:bCs/>
        </w:rPr>
        <w:t xml:space="preserve">. </w:t>
      </w:r>
      <w:r w:rsidRPr="00416D54">
        <w:rPr>
          <w:rFonts w:ascii="Garamond" w:hAnsi="Garamond"/>
          <w:b/>
          <w:bCs/>
        </w:rPr>
        <w:t>MEQ acts as a mediator between PER3B and human anxiety</w:t>
      </w:r>
      <w:r w:rsidRPr="00F55818">
        <w:rPr>
          <w:rFonts w:ascii="Garamond" w:hAnsi="Garamond"/>
        </w:rPr>
        <w:t xml:space="preserve">. </w:t>
      </w:r>
      <w:r>
        <w:rPr>
          <w:rFonts w:ascii="Garamond" w:hAnsi="Garamond"/>
        </w:rPr>
        <w:t>The n</w:t>
      </w:r>
      <w:r w:rsidRPr="00F55818">
        <w:rPr>
          <w:rFonts w:ascii="Garamond" w:hAnsi="Garamond"/>
        </w:rPr>
        <w:t xml:space="preserve">etwork </w:t>
      </w:r>
      <w:r>
        <w:rPr>
          <w:rFonts w:ascii="Garamond" w:hAnsi="Garamond"/>
        </w:rPr>
        <w:t xml:space="preserve">is constructed using the ARACNE method in conjunction with the </w:t>
      </w:r>
      <w:proofErr w:type="spellStart"/>
      <w:proofErr w:type="gramStart"/>
      <w:r>
        <w:rPr>
          <w:rFonts w:ascii="Garamond" w:hAnsi="Garamond"/>
        </w:rPr>
        <w:t>mi.empirical</w:t>
      </w:r>
      <w:proofErr w:type="spellEnd"/>
      <w:proofErr w:type="gramEnd"/>
      <w:r>
        <w:rPr>
          <w:rFonts w:ascii="Garamond" w:hAnsi="Garamond"/>
        </w:rPr>
        <w:t xml:space="preserve"> method and</w:t>
      </w:r>
      <w:r w:rsidRPr="00F55818">
        <w:rPr>
          <w:rFonts w:ascii="Garamond" w:hAnsi="Garamond"/>
        </w:rPr>
        <w:t xml:space="preserve"> bootstrap</w:t>
      </w:r>
      <w:r>
        <w:rPr>
          <w:rFonts w:ascii="Garamond" w:hAnsi="Garamond"/>
        </w:rPr>
        <w:t>ping.</w:t>
      </w:r>
      <w:r w:rsidRPr="00F5581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All links </w:t>
      </w:r>
      <w:r w:rsidRPr="00F55818">
        <w:rPr>
          <w:rFonts w:ascii="Garamond" w:hAnsi="Garamond"/>
        </w:rPr>
        <w:t xml:space="preserve">with bootstrap support </w:t>
      </w:r>
      <w:r>
        <w:rPr>
          <w:rFonts w:ascii="Garamond" w:hAnsi="Garamond"/>
        </w:rPr>
        <w:t xml:space="preserve">greater than </w:t>
      </w:r>
      <w:r w:rsidRPr="00F55818">
        <w:rPr>
          <w:rFonts w:ascii="Garamond" w:hAnsi="Garamond"/>
        </w:rPr>
        <w:t>50</w:t>
      </w:r>
      <w:r>
        <w:rPr>
          <w:rFonts w:ascii="Garamond" w:hAnsi="Garamond"/>
        </w:rPr>
        <w:t>%</w:t>
      </w:r>
      <w:r w:rsidRPr="00F5581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are </w:t>
      </w:r>
      <w:r w:rsidRPr="00F55818">
        <w:rPr>
          <w:rFonts w:ascii="Garamond" w:hAnsi="Garamond"/>
        </w:rPr>
        <w:t>shown</w:t>
      </w:r>
      <w:r>
        <w:rPr>
          <w:rFonts w:ascii="Garamond" w:hAnsi="Garamond"/>
        </w:rPr>
        <w:t xml:space="preserve">. </w:t>
      </w:r>
      <w:r w:rsidRPr="00F55818">
        <w:rPr>
          <w:rFonts w:ascii="Garamond" w:hAnsi="Garamond"/>
        </w:rPr>
        <w:t>The most frequent</w:t>
      </w:r>
      <w:r>
        <w:rPr>
          <w:rFonts w:ascii="Garamond" w:hAnsi="Garamond"/>
        </w:rPr>
        <w:t>ly observed associations</w:t>
      </w:r>
      <w:r w:rsidRPr="00F55818">
        <w:rPr>
          <w:rFonts w:ascii="Garamond" w:hAnsi="Garamond"/>
        </w:rPr>
        <w:t xml:space="preserve"> were between MEQ and anxiety, and between anxiety and depression. </w:t>
      </w:r>
      <w:r>
        <w:rPr>
          <w:rFonts w:ascii="Garamond" w:hAnsi="Garamond"/>
        </w:rPr>
        <w:t>MEQ mediates the association between PER3B and anxiety, but not the association between anxiety and other genotypic factors. SES: Socio-economic status.</w:t>
      </w:r>
    </w:p>
    <w:p w14:paraId="1E7ADDB7" w14:textId="786C2C13" w:rsidR="00791A08" w:rsidRPr="0007078A" w:rsidRDefault="00791A08">
      <w:pPr>
        <w:rPr>
          <w:rFonts w:ascii="Garamond" w:hAnsi="Garamond"/>
        </w:rPr>
      </w:pPr>
    </w:p>
    <w:sectPr w:rsidR="00791A08" w:rsidRPr="000707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B4"/>
    <w:rsid w:val="0007078A"/>
    <w:rsid w:val="00416D54"/>
    <w:rsid w:val="00791A08"/>
    <w:rsid w:val="00B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6C34BD"/>
  <w15:chartTrackingRefBased/>
  <w15:docId w15:val="{6D729E95-9CE5-F843-8FC3-59C47F05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6B4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Ingram</dc:creator>
  <cp:keywords/>
  <dc:description/>
  <cp:lastModifiedBy>Krista Ingram</cp:lastModifiedBy>
  <cp:revision>3</cp:revision>
  <dcterms:created xsi:type="dcterms:W3CDTF">2021-12-10T20:18:00Z</dcterms:created>
  <dcterms:modified xsi:type="dcterms:W3CDTF">2021-12-21T01:33:00Z</dcterms:modified>
</cp:coreProperties>
</file>