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eastAsia="t1-mini-regular"/>
          <w:b/>
          <w:bCs/>
          <w:color w:val="auto"/>
          <w:sz w:val="32"/>
          <w:highlight w:val="none"/>
          <w:u w:val="single"/>
        </w:rPr>
      </w:pPr>
      <w:r>
        <w:rPr>
          <w:rFonts w:eastAsia="t1-mini-regular"/>
          <w:b/>
          <w:bCs/>
          <w:color w:val="auto"/>
          <w:sz w:val="32"/>
          <w:highlight w:val="none"/>
          <w:u w:val="single"/>
        </w:rPr>
        <w:t>Supplementary Information</w:t>
      </w:r>
    </w:p>
    <w:p>
      <w:pPr>
        <w:ind w:firstLine="420"/>
        <w:jc w:val="center"/>
        <w:rPr>
          <w:b/>
          <w:bCs/>
          <w:color w:val="auto"/>
          <w:sz w:val="32"/>
          <w:szCs w:val="32"/>
          <w:highlight w:val="none"/>
        </w:rPr>
      </w:pPr>
      <w:r>
        <w:rPr>
          <w:rFonts w:hint="default"/>
          <w:b/>
          <w:bCs/>
          <w:color w:val="auto"/>
          <w:sz w:val="32"/>
          <w:szCs w:val="32"/>
          <w:highlight w:val="none"/>
          <w:lang w:val="en-US"/>
        </w:rPr>
        <w:t>Surface constrained electron-hole rich species active in the electrocatalytic water splitting</w:t>
      </w:r>
    </w:p>
    <w:p>
      <w:pPr>
        <w:jc w:val="center"/>
        <w:rPr>
          <w:rFonts w:eastAsia="Times New Roman"/>
          <w:color w:val="auto"/>
          <w:highlight w:val="none"/>
        </w:rPr>
      </w:pPr>
      <w:r>
        <w:rPr>
          <w:rFonts w:eastAsia="Times New Roman"/>
          <w:color w:val="auto"/>
          <w:highlight w:val="none"/>
        </w:rPr>
        <w:t>J. J. Velasco-Vélez</w:t>
      </w:r>
      <w:r>
        <w:rPr>
          <w:rFonts w:eastAsia="Times New Roman"/>
          <w:color w:val="auto"/>
          <w:highlight w:val="none"/>
          <w:vertAlign w:val="superscript"/>
        </w:rPr>
        <w:t>1,2,</w:t>
      </w:r>
      <w:r>
        <w:rPr>
          <w:rFonts w:eastAsia="Times New Roman"/>
          <w:color w:val="auto"/>
          <w:highlight w:val="none"/>
        </w:rPr>
        <w:t>*, E. Carbonio</w:t>
      </w:r>
      <w:r>
        <w:rPr>
          <w:rFonts w:eastAsia="Times New Roman"/>
          <w:color w:val="auto"/>
          <w:highlight w:val="none"/>
          <w:vertAlign w:val="superscript"/>
        </w:rPr>
        <w:t>2,3</w:t>
      </w:r>
      <w:r>
        <w:rPr>
          <w:rFonts w:eastAsia="Times New Roman"/>
          <w:color w:val="auto"/>
          <w:highlight w:val="none"/>
        </w:rPr>
        <w:t>, C.H. Chuang</w:t>
      </w:r>
      <w:r>
        <w:rPr>
          <w:rFonts w:eastAsia="Times New Roman"/>
          <w:color w:val="auto"/>
          <w:highlight w:val="none"/>
          <w:vertAlign w:val="superscript"/>
        </w:rPr>
        <w:t>4</w:t>
      </w:r>
      <w:r>
        <w:rPr>
          <w:rFonts w:eastAsia="Times New Roman"/>
          <w:color w:val="auto"/>
          <w:highlight w:val="none"/>
        </w:rPr>
        <w:t>, Cheng-Jhih Hsu</w:t>
      </w:r>
      <w:r>
        <w:rPr>
          <w:rFonts w:eastAsia="Times New Roman"/>
          <w:color w:val="auto"/>
          <w:highlight w:val="none"/>
          <w:vertAlign w:val="superscript"/>
        </w:rPr>
        <w:t>4</w:t>
      </w:r>
      <w:r>
        <w:rPr>
          <w:rFonts w:eastAsia="Times New Roman"/>
          <w:color w:val="auto"/>
          <w:highlight w:val="none"/>
        </w:rPr>
        <w:t>, Jyh-Fu Lee</w:t>
      </w:r>
      <w:r>
        <w:rPr>
          <w:rFonts w:eastAsia="Times New Roman"/>
          <w:color w:val="auto"/>
          <w:highlight w:val="none"/>
          <w:vertAlign w:val="superscript"/>
        </w:rPr>
        <w:t>5</w:t>
      </w:r>
      <w:r>
        <w:rPr>
          <w:rFonts w:eastAsia="Times New Roman"/>
          <w:color w:val="auto"/>
          <w:highlight w:val="none"/>
        </w:rPr>
        <w:t>, R. Arrigo</w:t>
      </w:r>
      <w:r>
        <w:rPr>
          <w:rFonts w:eastAsia="Times New Roman"/>
          <w:color w:val="auto"/>
          <w:highlight w:val="none"/>
          <w:vertAlign w:val="superscript"/>
        </w:rPr>
        <w:t>6</w:t>
      </w:r>
      <w:r>
        <w:rPr>
          <w:rFonts w:eastAsia="Times New Roman"/>
          <w:color w:val="auto"/>
          <w:highlight w:val="none"/>
        </w:rPr>
        <w:t>, M. Hävecker</w:t>
      </w:r>
      <w:r>
        <w:rPr>
          <w:rFonts w:eastAsia="Times New Roman"/>
          <w:color w:val="auto"/>
          <w:highlight w:val="none"/>
          <w:vertAlign w:val="superscript"/>
        </w:rPr>
        <w:t>1,2</w:t>
      </w:r>
      <w:r>
        <w:rPr>
          <w:rFonts w:eastAsia="Times New Roman"/>
          <w:color w:val="auto"/>
          <w:highlight w:val="none"/>
        </w:rPr>
        <w:t>, R. Wang</w:t>
      </w:r>
      <w:r>
        <w:rPr>
          <w:rFonts w:eastAsia="Times New Roman"/>
          <w:color w:val="auto"/>
          <w:highlight w:val="none"/>
          <w:vertAlign w:val="superscript"/>
        </w:rPr>
        <w:t>7</w:t>
      </w:r>
      <w:r>
        <w:rPr>
          <w:rFonts w:eastAsia="Times New Roman"/>
          <w:color w:val="auto"/>
          <w:highlight w:val="none"/>
        </w:rPr>
        <w:t>, M. Plodinec</w:t>
      </w:r>
      <w:r>
        <w:rPr>
          <w:rFonts w:eastAsia="Times New Roman"/>
          <w:color w:val="auto"/>
          <w:highlight w:val="none"/>
          <w:vertAlign w:val="superscript"/>
        </w:rPr>
        <w:t>2,8</w:t>
      </w:r>
      <w:r>
        <w:rPr>
          <w:rFonts w:eastAsia="Times New Roman"/>
          <w:color w:val="auto"/>
          <w:highlight w:val="none"/>
        </w:rPr>
        <w:t>, A. Centeno</w:t>
      </w:r>
      <w:r>
        <w:rPr>
          <w:rFonts w:eastAsia="Times New Roman"/>
          <w:color w:val="auto"/>
          <w:highlight w:val="none"/>
          <w:vertAlign w:val="superscript"/>
        </w:rPr>
        <w:t>9</w:t>
      </w:r>
      <w:r>
        <w:rPr>
          <w:rFonts w:eastAsia="Times New Roman"/>
          <w:color w:val="auto"/>
          <w:highlight w:val="none"/>
        </w:rPr>
        <w:t>, A. Zurutuza</w:t>
      </w:r>
      <w:r>
        <w:rPr>
          <w:rFonts w:eastAsia="Times New Roman"/>
          <w:color w:val="auto"/>
          <w:highlight w:val="none"/>
          <w:vertAlign w:val="superscript"/>
        </w:rPr>
        <w:t>9</w:t>
      </w:r>
      <w:r>
        <w:rPr>
          <w:rFonts w:eastAsia="Times New Roman"/>
          <w:color w:val="auto"/>
          <w:highlight w:val="none"/>
        </w:rPr>
        <w:t>, L. Falling</w:t>
      </w:r>
      <w:r>
        <w:rPr>
          <w:rFonts w:eastAsia="Times New Roman"/>
          <w:color w:val="auto"/>
          <w:highlight w:val="none"/>
          <w:vertAlign w:val="superscript"/>
        </w:rPr>
        <w:t>2</w:t>
      </w:r>
      <w:r>
        <w:rPr>
          <w:rFonts w:eastAsia="Times New Roman"/>
          <w:color w:val="auto"/>
          <w:highlight w:val="none"/>
        </w:rPr>
        <w:t>, R. Mom</w:t>
      </w:r>
      <w:r>
        <w:rPr>
          <w:rFonts w:eastAsia="Times New Roman"/>
          <w:color w:val="auto"/>
          <w:highlight w:val="none"/>
          <w:vertAlign w:val="superscript"/>
        </w:rPr>
        <w:t>2</w:t>
      </w:r>
      <w:r>
        <w:rPr>
          <w:rFonts w:eastAsia="Times New Roman"/>
          <w:color w:val="auto"/>
          <w:highlight w:val="none"/>
        </w:rPr>
        <w:t>, S. Hofmann</w:t>
      </w:r>
      <w:r>
        <w:rPr>
          <w:rFonts w:eastAsia="Times New Roman"/>
          <w:color w:val="auto"/>
          <w:highlight w:val="none"/>
          <w:vertAlign w:val="superscript"/>
        </w:rPr>
        <w:t>7</w:t>
      </w:r>
      <w:r>
        <w:rPr>
          <w:rFonts w:eastAsia="Times New Roman"/>
          <w:color w:val="auto"/>
          <w:highlight w:val="none"/>
        </w:rPr>
        <w:t>, R. Schlögl</w:t>
      </w:r>
      <w:r>
        <w:rPr>
          <w:rFonts w:eastAsia="Times New Roman"/>
          <w:color w:val="auto"/>
          <w:highlight w:val="none"/>
          <w:vertAlign w:val="superscript"/>
        </w:rPr>
        <w:t>1,2</w:t>
      </w:r>
      <w:r>
        <w:rPr>
          <w:rFonts w:eastAsia="Times New Roman"/>
          <w:color w:val="auto"/>
          <w:highlight w:val="none"/>
        </w:rPr>
        <w:t>, A. Knop-Gericke</w:t>
      </w:r>
      <w:r>
        <w:rPr>
          <w:rFonts w:eastAsia="Times New Roman"/>
          <w:color w:val="auto"/>
          <w:highlight w:val="none"/>
          <w:vertAlign w:val="superscript"/>
        </w:rPr>
        <w:t>1,2</w:t>
      </w:r>
      <w:r>
        <w:rPr>
          <w:rFonts w:eastAsia="Times New Roman"/>
          <w:color w:val="auto"/>
          <w:highlight w:val="none"/>
        </w:rPr>
        <w:t>, T. Jones</w:t>
      </w:r>
      <w:r>
        <w:rPr>
          <w:rFonts w:eastAsia="Times New Roman"/>
          <w:color w:val="auto"/>
          <w:highlight w:val="none"/>
          <w:vertAlign w:val="superscript"/>
        </w:rPr>
        <w:t>2</w:t>
      </w:r>
      <w:r>
        <w:rPr>
          <w:rFonts w:eastAsia="Times New Roman"/>
          <w:color w:val="auto"/>
          <w:highlight w:val="none"/>
        </w:rPr>
        <w:t>*</w:t>
      </w:r>
    </w:p>
    <w:p>
      <w:pPr>
        <w:jc w:val="center"/>
        <w:outlineLvl w:val="0"/>
        <w:rPr>
          <w:rFonts w:eastAsia="Times New Roman"/>
          <w:color w:val="auto"/>
          <w:sz w:val="20"/>
          <w:highlight w:val="none"/>
        </w:rPr>
      </w:pPr>
      <w:r>
        <w:rPr>
          <w:rFonts w:eastAsia="Times New Roman"/>
          <w:b/>
          <w:bCs/>
          <w:color w:val="auto"/>
          <w:sz w:val="20"/>
          <w:highlight w:val="none"/>
        </w:rPr>
        <w:t>*Corresponding author:</w:t>
      </w:r>
      <w:r>
        <w:rPr>
          <w:rFonts w:eastAsia="Times New Roman"/>
          <w:color w:val="auto"/>
          <w:sz w:val="20"/>
          <w:highlight w:val="none"/>
        </w:rPr>
        <w:t xml:space="preserve"> </w:t>
      </w:r>
      <w:r>
        <w:rPr>
          <w:color w:val="auto"/>
          <w:highlight w:val="none"/>
        </w:rPr>
        <w:fldChar w:fldCharType="begin"/>
      </w:r>
      <w:r>
        <w:rPr>
          <w:color w:val="auto"/>
          <w:highlight w:val="none"/>
        </w:rPr>
        <w:instrText xml:space="preserve"> HYPERLINK "mailto:velasco@fhi-berlin.mpg.de," </w:instrText>
      </w:r>
      <w:r>
        <w:rPr>
          <w:color w:val="auto"/>
          <w:highlight w:val="none"/>
        </w:rPr>
        <w:fldChar w:fldCharType="separate"/>
      </w:r>
      <w:r>
        <w:rPr>
          <w:rStyle w:val="16"/>
          <w:rFonts w:eastAsia="Times New Roman"/>
          <w:color w:val="auto"/>
          <w:sz w:val="20"/>
          <w:highlight w:val="none"/>
        </w:rPr>
        <w:t>velasco@fhi-berlin.mpg.de</w:t>
      </w:r>
      <w:r>
        <w:rPr>
          <w:rStyle w:val="16"/>
          <w:rFonts w:eastAsia="Times New Roman"/>
          <w:color w:val="auto"/>
          <w:sz w:val="20"/>
          <w:highlight w:val="none"/>
        </w:rPr>
        <w:fldChar w:fldCharType="end"/>
      </w:r>
      <w:r>
        <w:rPr>
          <w:rStyle w:val="16"/>
          <w:rFonts w:eastAsia="Times New Roman"/>
          <w:color w:val="auto"/>
          <w:sz w:val="20"/>
          <w:highlight w:val="none"/>
        </w:rPr>
        <w:t>, trjones@fhi-berlin.mpg.de</w:t>
      </w:r>
    </w:p>
    <w:p>
      <w:pPr>
        <w:spacing w:after="0"/>
        <w:rPr>
          <w:rFonts w:eastAsia="Times New Roman"/>
          <w:color w:val="auto"/>
          <w:sz w:val="20"/>
          <w:szCs w:val="20"/>
          <w:highlight w:val="none"/>
        </w:rPr>
      </w:pPr>
      <w:r>
        <w:rPr>
          <w:rFonts w:eastAsia="Times New Roman"/>
          <w:color w:val="auto"/>
          <w:sz w:val="20"/>
          <w:szCs w:val="20"/>
          <w:highlight w:val="none"/>
          <w:vertAlign w:val="superscript"/>
        </w:rPr>
        <w:t>1</w:t>
      </w:r>
      <w:r>
        <w:rPr>
          <w:rFonts w:eastAsia="Times New Roman"/>
          <w:color w:val="auto"/>
          <w:sz w:val="20"/>
          <w:szCs w:val="20"/>
          <w:highlight w:val="none"/>
        </w:rPr>
        <w:t>Department of Heterogeneous Reactions, Max Planck Institute for Chemical Energy Conversion, Mülheim an der Ruhr 45470, Germany</w:t>
      </w:r>
    </w:p>
    <w:p>
      <w:pPr>
        <w:spacing w:after="0"/>
        <w:rPr>
          <w:rFonts w:eastAsia="Times New Roman"/>
          <w:color w:val="auto"/>
          <w:sz w:val="20"/>
          <w:szCs w:val="20"/>
          <w:highlight w:val="none"/>
        </w:rPr>
      </w:pPr>
      <w:r>
        <w:rPr>
          <w:rFonts w:eastAsia="Times New Roman"/>
          <w:color w:val="auto"/>
          <w:sz w:val="20"/>
          <w:szCs w:val="20"/>
          <w:highlight w:val="none"/>
          <w:vertAlign w:val="superscript"/>
        </w:rPr>
        <w:t>2</w:t>
      </w:r>
      <w:r>
        <w:rPr>
          <w:rFonts w:eastAsia="Times New Roman"/>
          <w:color w:val="auto"/>
          <w:sz w:val="20"/>
          <w:szCs w:val="20"/>
          <w:highlight w:val="none"/>
        </w:rPr>
        <w:t>Department of Inorganic Chemistry, Fritz-Haber-Institut der Max-Planck-Gesellschaft, Berlin 14195, Germany</w:t>
      </w:r>
    </w:p>
    <w:p>
      <w:pPr>
        <w:spacing w:after="0"/>
        <w:outlineLvl w:val="0"/>
        <w:rPr>
          <w:color w:val="auto"/>
          <w:sz w:val="20"/>
          <w:szCs w:val="20"/>
          <w:highlight w:val="none"/>
          <w:lang w:eastAsia="de-DE"/>
        </w:rPr>
      </w:pPr>
      <w:r>
        <w:rPr>
          <w:color w:val="auto"/>
          <w:sz w:val="20"/>
          <w:szCs w:val="20"/>
          <w:highlight w:val="none"/>
          <w:vertAlign w:val="superscript"/>
          <w:lang w:eastAsia="de-DE"/>
        </w:rPr>
        <w:t>3</w:t>
      </w:r>
      <w:r>
        <w:rPr>
          <w:color w:val="auto"/>
          <w:sz w:val="20"/>
          <w:szCs w:val="20"/>
          <w:highlight w:val="none"/>
          <w:lang w:eastAsia="de-DE"/>
        </w:rPr>
        <w:t>Helmholtz-Center Berlin for Materials and Energy, BESSY II, Berlin 12489, Germany</w:t>
      </w:r>
    </w:p>
    <w:p>
      <w:pPr>
        <w:spacing w:after="0"/>
        <w:rPr>
          <w:color w:val="auto"/>
          <w:sz w:val="20"/>
          <w:szCs w:val="20"/>
          <w:highlight w:val="none"/>
          <w:lang w:eastAsia="de-DE"/>
        </w:rPr>
      </w:pPr>
      <w:r>
        <w:rPr>
          <w:color w:val="auto"/>
          <w:sz w:val="20"/>
          <w:szCs w:val="20"/>
          <w:highlight w:val="none"/>
          <w:vertAlign w:val="superscript"/>
          <w:lang w:eastAsia="de-DE"/>
        </w:rPr>
        <w:t>4</w:t>
      </w:r>
      <w:r>
        <w:rPr>
          <w:color w:val="auto"/>
          <w:sz w:val="20"/>
          <w:szCs w:val="20"/>
          <w:highlight w:val="none"/>
          <w:lang w:eastAsia="de-DE"/>
        </w:rPr>
        <w:t>Department of Physics, Tamkang University, New Taipei City 25137, Taiwan</w:t>
      </w:r>
    </w:p>
    <w:p>
      <w:pPr>
        <w:spacing w:after="0"/>
        <w:outlineLvl w:val="0"/>
        <w:rPr>
          <w:color w:val="auto"/>
          <w:sz w:val="20"/>
          <w:szCs w:val="20"/>
          <w:highlight w:val="none"/>
          <w:lang w:eastAsia="de-DE"/>
        </w:rPr>
      </w:pPr>
      <w:r>
        <w:rPr>
          <w:color w:val="auto"/>
          <w:sz w:val="20"/>
          <w:szCs w:val="20"/>
          <w:highlight w:val="none"/>
          <w:vertAlign w:val="superscript"/>
          <w:lang w:eastAsia="de-DE"/>
        </w:rPr>
        <w:t>5</w:t>
      </w:r>
      <w:r>
        <w:rPr>
          <w:color w:val="auto"/>
          <w:sz w:val="20"/>
          <w:szCs w:val="20"/>
          <w:highlight w:val="none"/>
          <w:lang w:eastAsia="de-DE"/>
        </w:rPr>
        <w:t>National Synchrotron Radiation Research Center, Hsinchu 30076, Taiwan</w:t>
      </w:r>
    </w:p>
    <w:p>
      <w:pPr>
        <w:spacing w:after="0"/>
        <w:rPr>
          <w:rFonts w:eastAsia="Times New Roman"/>
          <w:color w:val="auto"/>
          <w:sz w:val="20"/>
          <w:szCs w:val="20"/>
          <w:highlight w:val="none"/>
        </w:rPr>
      </w:pPr>
      <w:r>
        <w:rPr>
          <w:rFonts w:eastAsia="Times New Roman"/>
          <w:color w:val="auto"/>
          <w:sz w:val="20"/>
          <w:szCs w:val="20"/>
          <w:highlight w:val="none"/>
          <w:vertAlign w:val="superscript"/>
        </w:rPr>
        <w:t>6</w:t>
      </w:r>
      <w:r>
        <w:rPr>
          <w:color w:val="auto"/>
          <w:sz w:val="20"/>
          <w:szCs w:val="20"/>
          <w:highlight w:val="none"/>
          <w:lang w:eastAsia="de-DE"/>
        </w:rPr>
        <w:t>School of Sciences, University of Salford, Environment and Life, Cockcroft building, M5 4WT, Manchester, U.K.</w:t>
      </w:r>
    </w:p>
    <w:p>
      <w:pPr>
        <w:spacing w:after="0" w:line="240" w:lineRule="auto"/>
        <w:rPr>
          <w:rFonts w:eastAsia="Times New Roman"/>
          <w:color w:val="auto"/>
          <w:sz w:val="20"/>
          <w:szCs w:val="20"/>
          <w:highlight w:val="none"/>
          <w:vertAlign w:val="superscript"/>
        </w:rPr>
      </w:pPr>
      <w:r>
        <w:rPr>
          <w:rFonts w:eastAsia="Times New Roman"/>
          <w:color w:val="auto"/>
          <w:sz w:val="20"/>
          <w:szCs w:val="20"/>
          <w:highlight w:val="none"/>
          <w:vertAlign w:val="superscript"/>
        </w:rPr>
        <w:t>7</w:t>
      </w:r>
      <w:r>
        <w:rPr>
          <w:rFonts w:eastAsia="Times New Roman"/>
          <w:color w:val="auto"/>
          <w:sz w:val="20"/>
          <w:szCs w:val="20"/>
          <w:highlight w:val="none"/>
        </w:rPr>
        <w:t>Department of Engineering, University of Cambridge, Cambridge CB3 0FA, United Kingdom</w:t>
      </w:r>
    </w:p>
    <w:p>
      <w:pPr>
        <w:spacing w:after="0" w:line="240" w:lineRule="auto"/>
        <w:rPr>
          <w:color w:val="auto"/>
          <w:highlight w:val="none"/>
        </w:rPr>
      </w:pPr>
      <w:r>
        <w:rPr>
          <w:rFonts w:eastAsia="Times New Roman"/>
          <w:color w:val="auto"/>
          <w:sz w:val="20"/>
          <w:szCs w:val="20"/>
          <w:highlight w:val="none"/>
          <w:vertAlign w:val="superscript"/>
        </w:rPr>
        <w:t>8</w:t>
      </w:r>
      <w:r>
        <w:rPr>
          <w:rFonts w:eastAsia="Times New Roman"/>
          <w:color w:val="auto"/>
          <w:sz w:val="20"/>
          <w:szCs w:val="20"/>
          <w:highlight w:val="none"/>
        </w:rPr>
        <w:t xml:space="preserve">Rudjer Boskovic Institute, Bijenicka 54, HR-10000 Zagreb, Croatia </w:t>
      </w:r>
    </w:p>
    <w:p>
      <w:pPr>
        <w:spacing w:after="0" w:line="240" w:lineRule="auto"/>
        <w:rPr>
          <w:rFonts w:eastAsia="Times New Roman"/>
          <w:color w:val="auto"/>
          <w:sz w:val="20"/>
          <w:szCs w:val="20"/>
          <w:highlight w:val="none"/>
        </w:rPr>
      </w:pPr>
      <w:r>
        <w:rPr>
          <w:rFonts w:eastAsia="Times New Roman"/>
          <w:color w:val="auto"/>
          <w:sz w:val="20"/>
          <w:szCs w:val="20"/>
          <w:highlight w:val="none"/>
          <w:vertAlign w:val="superscript"/>
        </w:rPr>
        <w:t>9</w:t>
      </w:r>
      <w:r>
        <w:rPr>
          <w:rFonts w:eastAsia="Times New Roman"/>
          <w:color w:val="auto"/>
          <w:sz w:val="20"/>
          <w:szCs w:val="20"/>
          <w:highlight w:val="none"/>
        </w:rPr>
        <w:t xml:space="preserve">Graphenea, San Sebastian 20018, Spain </w:t>
      </w:r>
    </w:p>
    <w:p>
      <w:pPr>
        <w:spacing w:after="0" w:line="240" w:lineRule="auto"/>
        <w:rPr>
          <w:rFonts w:eastAsia="Times New Roman"/>
          <w:color w:val="auto"/>
          <w:sz w:val="20"/>
          <w:szCs w:val="20"/>
          <w:highlight w:val="none"/>
        </w:rPr>
      </w:pPr>
      <w:r>
        <w:rPr>
          <w:rFonts w:eastAsia="Times New Roman"/>
          <w:color w:val="auto"/>
          <w:sz w:val="20"/>
          <w:szCs w:val="20"/>
          <w:highlight w:val="none"/>
        </w:rPr>
        <w:t xml:space="preserve"> </w:t>
      </w:r>
    </w:p>
    <w:p>
      <w:pPr>
        <w:spacing w:after="0"/>
        <w:rPr>
          <w:rFonts w:eastAsia="Times New Roman"/>
          <w:color w:val="auto"/>
          <w:sz w:val="20"/>
          <w:szCs w:val="20"/>
          <w:highlight w:val="none"/>
        </w:rPr>
      </w:pPr>
    </w:p>
    <w:p>
      <w:pPr>
        <w:jc w:val="center"/>
        <w:rPr>
          <w:rFonts w:eastAsia="t1-mini-regular"/>
          <w:color w:val="auto"/>
          <w:highlight w:val="none"/>
        </w:rPr>
      </w:pPr>
      <w:r>
        <w:rPr>
          <w:color w:val="auto"/>
          <w:highlight w:val="none"/>
          <w:lang w:eastAsia="en-US"/>
        </w:rPr>
        <w:drawing>
          <wp:inline distT="0" distB="0" distL="0" distR="0">
            <wp:extent cx="4761230" cy="3017520"/>
            <wp:effectExtent l="0" t="0" r="1270" b="1143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4761230" cy="3017520"/>
                    </a:xfrm>
                    <a:prstGeom prst="rect">
                      <a:avLst/>
                    </a:prstGeom>
                    <a:noFill/>
                    <a:ln>
                      <a:noFill/>
                    </a:ln>
                  </pic:spPr>
                </pic:pic>
              </a:graphicData>
            </a:graphic>
          </wp:inline>
        </w:drawing>
      </w:r>
    </w:p>
    <w:p>
      <w:pPr>
        <w:outlineLvl w:val="0"/>
        <w:rPr>
          <w:b/>
          <w:color w:val="auto"/>
          <w:highlight w:val="none"/>
          <w:lang w:eastAsia="en-US"/>
        </w:rPr>
      </w:pPr>
      <w:r>
        <w:rPr>
          <w:b/>
          <w:color w:val="auto"/>
          <w:highlight w:val="none"/>
          <w:lang w:eastAsia="en-US"/>
        </w:rPr>
        <w:t>Fig. S1</w:t>
      </w:r>
    </w:p>
    <w:p>
      <w:pPr>
        <w:rPr>
          <w:color w:val="auto"/>
          <w:highlight w:val="none"/>
          <w:lang w:eastAsia="en-US"/>
        </w:rPr>
      </w:pPr>
      <w:r>
        <w:rPr>
          <w:color w:val="auto"/>
          <w:highlight w:val="none"/>
          <w:lang w:eastAsia="en-US"/>
        </w:rPr>
        <w:t xml:space="preserve">SEM image of </w:t>
      </w:r>
      <w:r>
        <w:rPr>
          <w:color w:val="auto"/>
          <w:highlight w:val="none"/>
        </w:rPr>
        <w:t>the BLG coating the Si</w:t>
      </w:r>
      <w:r>
        <w:rPr>
          <w:color w:val="auto"/>
          <w:highlight w:val="none"/>
          <w:vertAlign w:val="subscript"/>
        </w:rPr>
        <w:t>3</w:t>
      </w:r>
      <w:r>
        <w:rPr>
          <w:color w:val="auto"/>
          <w:highlight w:val="none"/>
        </w:rPr>
        <w:t>N</w:t>
      </w:r>
      <w:r>
        <w:rPr>
          <w:color w:val="auto"/>
          <w:highlight w:val="none"/>
          <w:vertAlign w:val="subscript"/>
        </w:rPr>
        <w:t>4</w:t>
      </w:r>
      <w:r>
        <w:rPr>
          <w:color w:val="auto"/>
          <w:highlight w:val="none"/>
        </w:rPr>
        <w:t xml:space="preserve"> grid with </w:t>
      </w:r>
      <w:r>
        <w:rPr>
          <w:color w:val="auto"/>
          <w:highlight w:val="none"/>
          <w:lang w:eastAsia="en-US"/>
        </w:rPr>
        <w:t xml:space="preserve">holes of 1 µm diameter: </w:t>
      </w:r>
      <w:r>
        <w:rPr>
          <w:b/>
          <w:bCs/>
          <w:color w:val="auto"/>
          <w:highlight w:val="none"/>
          <w:lang w:eastAsia="en-US"/>
        </w:rPr>
        <w:t>(A)</w:t>
      </w:r>
      <w:r>
        <w:rPr>
          <w:color w:val="auto"/>
          <w:highlight w:val="none"/>
          <w:lang w:eastAsia="en-US"/>
        </w:rPr>
        <w:t xml:space="preserve"> 10 µm and </w:t>
      </w:r>
      <w:r>
        <w:rPr>
          <w:b/>
          <w:bCs/>
          <w:color w:val="auto"/>
          <w:highlight w:val="none"/>
          <w:lang w:eastAsia="en-US"/>
        </w:rPr>
        <w:t>(B)</w:t>
      </w:r>
      <w:r>
        <w:rPr>
          <w:color w:val="auto"/>
          <w:highlight w:val="none"/>
          <w:lang w:eastAsia="en-US"/>
        </w:rPr>
        <w:t xml:space="preserve"> 1 µm  scales. </w:t>
      </w:r>
      <w:r>
        <w:rPr>
          <w:b/>
          <w:color w:val="auto"/>
          <w:highlight w:val="none"/>
          <w:lang w:eastAsia="en-US"/>
        </w:rPr>
        <w:t>(C)</w:t>
      </w:r>
      <w:r>
        <w:rPr>
          <w:color w:val="auto"/>
          <w:highlight w:val="none"/>
          <w:lang w:eastAsia="en-US"/>
        </w:rPr>
        <w:t xml:space="preserve"> Raman spectra of different graphitic materials.</w:t>
      </w:r>
    </w:p>
    <w:p>
      <w:pPr>
        <w:ind w:firstLine="720"/>
        <w:jc w:val="center"/>
        <w:rPr>
          <w:b/>
          <w:color w:val="auto"/>
          <w:highlight w:val="none"/>
          <w:lang w:eastAsia="en-US"/>
        </w:rPr>
      </w:pPr>
      <w:r>
        <w:rPr>
          <w:color w:val="auto"/>
          <w:highlight w:val="none"/>
          <w:lang w:eastAsia="en-US"/>
        </w:rPr>
        <w:drawing>
          <wp:inline distT="0" distB="0" distL="0" distR="0">
            <wp:extent cx="4965700" cy="3670935"/>
            <wp:effectExtent l="0" t="0" r="6350" b="5715"/>
            <wp:docPr id="13" name="Picture 13" descr="C:\Users\velasco\Desktop\Pictur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Users\velasco\Desktop\Picture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4965700" cy="3670935"/>
                    </a:xfrm>
                    <a:prstGeom prst="rect">
                      <a:avLst/>
                    </a:prstGeom>
                    <a:noFill/>
                    <a:ln>
                      <a:noFill/>
                    </a:ln>
                  </pic:spPr>
                </pic:pic>
              </a:graphicData>
            </a:graphic>
          </wp:inline>
        </w:drawing>
      </w:r>
    </w:p>
    <w:p>
      <w:pPr>
        <w:outlineLvl w:val="0"/>
        <w:rPr>
          <w:b/>
          <w:color w:val="auto"/>
          <w:highlight w:val="none"/>
          <w:lang w:val="en-GB" w:eastAsia="en-US"/>
        </w:rPr>
      </w:pPr>
      <w:r>
        <w:rPr>
          <w:b/>
          <w:color w:val="auto"/>
          <w:highlight w:val="none"/>
          <w:lang w:val="en-GB" w:eastAsia="en-US"/>
        </w:rPr>
        <w:t>Fig</w:t>
      </w:r>
      <w:r>
        <w:rPr>
          <w:b/>
          <w:color w:val="auto"/>
          <w:highlight w:val="none"/>
          <w:lang w:eastAsia="en-US"/>
        </w:rPr>
        <w:t>.</w:t>
      </w:r>
      <w:r>
        <w:rPr>
          <w:b/>
          <w:color w:val="auto"/>
          <w:highlight w:val="none"/>
          <w:lang w:val="en-GB" w:eastAsia="en-US"/>
        </w:rPr>
        <w:t xml:space="preserve"> S</w:t>
      </w:r>
      <w:r>
        <w:rPr>
          <w:b/>
          <w:color w:val="auto"/>
          <w:highlight w:val="none"/>
          <w:lang w:eastAsia="en-US"/>
        </w:rPr>
        <w:t>2</w:t>
      </w:r>
    </w:p>
    <w:p>
      <w:pPr>
        <w:spacing w:after="0"/>
        <w:jc w:val="both"/>
        <w:rPr>
          <w:color w:val="auto"/>
          <w:highlight w:val="none"/>
        </w:rPr>
      </w:pPr>
      <w:r>
        <w:rPr>
          <w:color w:val="auto"/>
          <w:highlight w:val="none"/>
          <w:lang w:val="en-GB" w:eastAsia="en-US"/>
        </w:rPr>
        <w:t>(</w:t>
      </w:r>
      <w:r>
        <w:rPr>
          <w:b/>
          <w:color w:val="auto"/>
          <w:highlight w:val="none"/>
          <w:lang w:val="en-GB" w:eastAsia="en-US"/>
        </w:rPr>
        <w:t>A</w:t>
      </w:r>
      <w:r>
        <w:rPr>
          <w:color w:val="auto"/>
          <w:highlight w:val="none"/>
          <w:lang w:val="en-GB" w:eastAsia="en-US"/>
        </w:rPr>
        <w:t xml:space="preserve">) </w:t>
      </w:r>
      <w:r>
        <w:rPr>
          <w:color w:val="auto"/>
          <w:highlight w:val="none"/>
          <w:lang w:eastAsia="en-US"/>
        </w:rPr>
        <w:t xml:space="preserve">Sketch </w:t>
      </w:r>
      <w:r>
        <w:rPr>
          <w:color w:val="auto"/>
          <w:highlight w:val="none"/>
          <w:lang w:val="en-GB" w:eastAsia="en-US"/>
        </w:rPr>
        <w:t>and picture of the EC cell used for the hard X-ray measurements in the Ir L</w:t>
      </w:r>
      <w:r>
        <w:rPr>
          <w:color w:val="auto"/>
          <w:highlight w:val="none"/>
          <w:vertAlign w:val="subscript"/>
          <w:lang w:val="en-GB" w:eastAsia="en-US"/>
        </w:rPr>
        <w:t>3</w:t>
      </w:r>
      <w:r>
        <w:rPr>
          <w:color w:val="auto"/>
          <w:highlight w:val="none"/>
          <w:lang w:val="en-GB" w:eastAsia="en-US"/>
        </w:rPr>
        <w:t>-edge. (</w:t>
      </w:r>
      <w:r>
        <w:rPr>
          <w:b/>
          <w:color w:val="auto"/>
          <w:highlight w:val="none"/>
          <w:lang w:val="en-GB" w:eastAsia="en-US"/>
        </w:rPr>
        <w:t>B</w:t>
      </w:r>
      <w:r>
        <w:rPr>
          <w:color w:val="auto"/>
          <w:highlight w:val="none"/>
          <w:lang w:val="en-GB" w:eastAsia="en-US"/>
        </w:rPr>
        <w:t>) Sketch and picture of the liquid flow cell used for the PES measurements: The blue arrows indicate the electrolyte flow. The cell has three electrodes: counter, working and reference. The working electrode is transferred directly onto the grid.</w:t>
      </w:r>
      <w:r>
        <w:rPr>
          <w:color w:val="auto"/>
          <w:highlight w:val="none"/>
          <w:lang w:eastAsia="en-US"/>
        </w:rPr>
        <w:t xml:space="preserve"> </w:t>
      </w:r>
    </w:p>
    <w:p>
      <w:pPr>
        <w:spacing w:after="0"/>
        <w:ind w:firstLine="720"/>
        <w:jc w:val="both"/>
        <w:rPr>
          <w:b/>
          <w:bCs/>
          <w:i/>
          <w:iCs/>
          <w:color w:val="auto"/>
          <w:highlight w:val="none"/>
        </w:rPr>
      </w:pPr>
    </w:p>
    <w:p>
      <w:pPr>
        <w:spacing w:after="0"/>
        <w:jc w:val="center"/>
        <w:rPr>
          <w:color w:val="auto"/>
          <w:highlight w:val="none"/>
        </w:rPr>
      </w:pPr>
      <w:r>
        <w:rPr>
          <w:color w:val="auto"/>
          <w:highlight w:val="none"/>
          <w:lang w:eastAsia="en-US"/>
        </w:rPr>
        <w:drawing>
          <wp:inline distT="0" distB="0" distL="0" distR="0">
            <wp:extent cx="4625340" cy="2179320"/>
            <wp:effectExtent l="0" t="0" r="3810" b="11430"/>
            <wp:docPr id="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4625340" cy="2179320"/>
                    </a:xfrm>
                    <a:prstGeom prst="rect">
                      <a:avLst/>
                    </a:prstGeom>
                    <a:noFill/>
                    <a:ln>
                      <a:noFill/>
                    </a:ln>
                  </pic:spPr>
                </pic:pic>
              </a:graphicData>
            </a:graphic>
          </wp:inline>
        </w:drawing>
      </w:r>
    </w:p>
    <w:p>
      <w:pPr>
        <w:spacing w:after="0"/>
        <w:jc w:val="both"/>
        <w:rPr>
          <w:b/>
          <w:color w:val="auto"/>
          <w:highlight w:val="none"/>
        </w:rPr>
      </w:pPr>
      <w:r>
        <w:rPr>
          <w:b/>
          <w:color w:val="auto"/>
          <w:highlight w:val="none"/>
        </w:rPr>
        <w:t xml:space="preserve">Fig. S3 </w:t>
      </w:r>
    </w:p>
    <w:p>
      <w:pPr>
        <w:spacing w:after="0"/>
        <w:jc w:val="both"/>
        <w:rPr>
          <w:color w:val="auto"/>
          <w:highlight w:val="none"/>
        </w:rPr>
      </w:pPr>
    </w:p>
    <w:p>
      <w:pPr>
        <w:spacing w:after="0"/>
        <w:jc w:val="both"/>
        <w:rPr>
          <w:color w:val="auto"/>
          <w:highlight w:val="none"/>
        </w:rPr>
      </w:pPr>
      <w:r>
        <w:rPr>
          <w:color w:val="auto"/>
          <w:highlight w:val="none"/>
        </w:rPr>
        <w:t>Structure of bulk Ir</w:t>
      </w:r>
      <w:r>
        <w:rPr>
          <w:color w:val="auto"/>
          <w:highlight w:val="none"/>
          <w:vertAlign w:val="subscript"/>
        </w:rPr>
        <w:t>2</w:t>
      </w:r>
      <w:r>
        <w:rPr>
          <w:color w:val="auto"/>
          <w:highlight w:val="none"/>
        </w:rPr>
        <w:t>O</w:t>
      </w:r>
      <w:r>
        <w:rPr>
          <w:color w:val="auto"/>
          <w:highlight w:val="none"/>
          <w:vertAlign w:val="subscript"/>
        </w:rPr>
        <w:t>5</w:t>
      </w:r>
      <w:r>
        <w:rPr>
          <w:color w:val="auto"/>
          <w:highlight w:val="none"/>
        </w:rPr>
        <w:t xml:space="preserve"> </w:t>
      </w:r>
      <w:r>
        <w:rPr>
          <w:b/>
          <w:bCs/>
          <w:color w:val="auto"/>
          <w:highlight w:val="none"/>
        </w:rPr>
        <w:t>(A)</w:t>
      </w:r>
      <w:r>
        <w:rPr>
          <w:color w:val="auto"/>
          <w:highlight w:val="none"/>
        </w:rPr>
        <w:t xml:space="preserve"> and bulk IrO</w:t>
      </w:r>
      <w:r>
        <w:rPr>
          <w:color w:val="auto"/>
          <w:highlight w:val="none"/>
          <w:vertAlign w:val="subscript"/>
        </w:rPr>
        <w:t>3</w:t>
      </w:r>
      <w:r>
        <w:rPr>
          <w:color w:val="auto"/>
          <w:highlight w:val="none"/>
        </w:rPr>
        <w:t xml:space="preserve"> </w:t>
      </w:r>
      <w:r>
        <w:rPr>
          <w:b/>
          <w:bCs/>
          <w:color w:val="auto"/>
          <w:highlight w:val="none"/>
        </w:rPr>
        <w:t>(B)</w:t>
      </w:r>
      <w:r>
        <w:rPr>
          <w:color w:val="auto"/>
          <w:highlight w:val="none"/>
        </w:rPr>
        <w:t>.</w:t>
      </w:r>
    </w:p>
    <w:p>
      <w:pPr>
        <w:spacing w:after="0"/>
        <w:ind w:firstLine="720"/>
        <w:jc w:val="both"/>
        <w:rPr>
          <w:color w:val="auto"/>
          <w:highlight w:val="none"/>
        </w:rPr>
      </w:pPr>
    </w:p>
    <w:p>
      <w:pPr>
        <w:jc w:val="both"/>
        <w:rPr>
          <w:bCs/>
          <w:color w:val="auto"/>
          <w:highlight w:val="none"/>
          <w:lang w:eastAsia="en-US"/>
        </w:rPr>
      </w:pPr>
    </w:p>
    <w:p>
      <w:pPr>
        <w:jc w:val="center"/>
        <w:rPr>
          <w:bCs/>
          <w:color w:val="auto"/>
          <w:highlight w:val="none"/>
          <w:lang w:eastAsia="en-US"/>
        </w:rPr>
      </w:pPr>
      <w:r>
        <w:rPr>
          <w:bCs/>
          <w:color w:val="auto"/>
          <w:highlight w:val="none"/>
          <w:lang w:eastAsia="en-US"/>
        </w:rPr>
        <w:drawing>
          <wp:inline distT="0" distB="0" distL="114300" distR="114300">
            <wp:extent cx="5938520" cy="4187190"/>
            <wp:effectExtent l="0" t="0" r="5080" b="3810"/>
            <wp:docPr id="2" name="Picture 2" descr="Pictu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Picture2"/>
                    <pic:cNvPicPr>
                      <a:picLocks noChangeAspect="1"/>
                    </pic:cNvPicPr>
                  </pic:nvPicPr>
                  <pic:blipFill>
                    <a:blip r:embed="rId8"/>
                    <a:stretch>
                      <a:fillRect/>
                    </a:stretch>
                  </pic:blipFill>
                  <pic:spPr>
                    <a:xfrm>
                      <a:off x="0" y="0"/>
                      <a:ext cx="5938520" cy="4187190"/>
                    </a:xfrm>
                    <a:prstGeom prst="rect">
                      <a:avLst/>
                    </a:prstGeom>
                  </pic:spPr>
                </pic:pic>
              </a:graphicData>
            </a:graphic>
          </wp:inline>
        </w:drawing>
      </w:r>
    </w:p>
    <w:p>
      <w:pPr>
        <w:jc w:val="both"/>
        <w:rPr>
          <w:bCs/>
          <w:color w:val="auto"/>
          <w:highlight w:val="none"/>
        </w:rPr>
      </w:pPr>
      <w:r>
        <w:rPr>
          <w:b/>
          <w:bCs/>
          <w:color w:val="auto"/>
          <w:highlight w:val="none"/>
        </w:rPr>
        <w:t>Fig. S4</w:t>
      </w:r>
    </w:p>
    <w:p>
      <w:pPr>
        <w:jc w:val="both"/>
        <w:rPr>
          <w:color w:val="auto"/>
          <w:highlight w:val="none"/>
        </w:rPr>
      </w:pPr>
      <w:r>
        <w:rPr>
          <w:bCs/>
          <w:color w:val="auto"/>
          <w:highlight w:val="none"/>
        </w:rPr>
        <w:t>The surface terminations considered for IrO</w:t>
      </w:r>
      <w:r>
        <w:rPr>
          <w:bCs/>
          <w:color w:val="auto"/>
          <w:highlight w:val="none"/>
          <w:vertAlign w:val="subscript"/>
        </w:rPr>
        <w:t>2</w:t>
      </w:r>
      <w:r>
        <w:rPr>
          <w:bCs/>
          <w:color w:val="auto"/>
          <w:highlight w:val="none"/>
        </w:rPr>
        <w:t xml:space="preserve"> (111). In </w:t>
      </w:r>
      <w:r>
        <w:rPr>
          <w:b/>
          <w:color w:val="auto"/>
          <w:highlight w:val="none"/>
        </w:rPr>
        <w:t>(A)</w:t>
      </w:r>
      <w:r>
        <w:rPr>
          <w:bCs/>
          <w:color w:val="auto"/>
          <w:highlight w:val="none"/>
        </w:rPr>
        <w:t xml:space="preserve"> all surface </w:t>
      </w:r>
      <w:r>
        <w:rPr>
          <w:color w:val="auto"/>
          <w:highlight w:val="none"/>
        </w:rPr>
        <w:t>µ</w:t>
      </w:r>
      <w:r>
        <w:rPr>
          <w:color w:val="auto"/>
          <w:highlight w:val="none"/>
          <w:vertAlign w:val="subscript"/>
        </w:rPr>
        <w:t>2</w:t>
      </w:r>
      <w:r>
        <w:rPr>
          <w:color w:val="auto"/>
          <w:highlight w:val="none"/>
        </w:rPr>
        <w:t>-O and µ</w:t>
      </w:r>
      <w:r>
        <w:rPr>
          <w:color w:val="auto"/>
          <w:highlight w:val="none"/>
          <w:vertAlign w:val="subscript"/>
        </w:rPr>
        <w:t>1</w:t>
      </w:r>
      <w:r>
        <w:rPr>
          <w:color w:val="auto"/>
          <w:highlight w:val="none"/>
        </w:rPr>
        <w:t>-O are hydroxylated. The µ</w:t>
      </w:r>
      <w:r>
        <w:rPr>
          <w:color w:val="auto"/>
          <w:highlight w:val="none"/>
          <w:vertAlign w:val="subscript"/>
        </w:rPr>
        <w:t>2</w:t>
      </w:r>
      <w:r>
        <w:rPr>
          <w:color w:val="auto"/>
          <w:highlight w:val="none"/>
        </w:rPr>
        <w:t xml:space="preserve">-OH sites are progressively hydroxlated from </w:t>
      </w:r>
      <w:r>
        <w:rPr>
          <w:b/>
          <w:bCs/>
          <w:color w:val="auto"/>
          <w:highlight w:val="none"/>
        </w:rPr>
        <w:t>(B)</w:t>
      </w:r>
      <w:r>
        <w:rPr>
          <w:color w:val="auto"/>
          <w:highlight w:val="none"/>
        </w:rPr>
        <w:t xml:space="preserve"> to </w:t>
      </w:r>
      <w:r>
        <w:rPr>
          <w:b/>
          <w:bCs/>
          <w:color w:val="auto"/>
          <w:highlight w:val="none"/>
        </w:rPr>
        <w:t>(E)</w:t>
      </w:r>
      <w:r>
        <w:rPr>
          <w:color w:val="auto"/>
          <w:highlight w:val="none"/>
        </w:rPr>
        <w:t xml:space="preserve">, where in </w:t>
      </w:r>
      <w:r>
        <w:rPr>
          <w:b/>
          <w:bCs/>
          <w:color w:val="auto"/>
          <w:highlight w:val="none"/>
        </w:rPr>
        <w:t>(E)</w:t>
      </w:r>
      <w:r>
        <w:rPr>
          <w:color w:val="auto"/>
          <w:highlight w:val="none"/>
        </w:rPr>
        <w:t xml:space="preserve"> the surface has µ</w:t>
      </w:r>
      <w:r>
        <w:rPr>
          <w:color w:val="auto"/>
          <w:highlight w:val="none"/>
          <w:vertAlign w:val="subscript"/>
        </w:rPr>
        <w:t>2</w:t>
      </w:r>
      <w:r>
        <w:rPr>
          <w:color w:val="auto"/>
          <w:highlight w:val="none"/>
        </w:rPr>
        <w:t>-O and µ</w:t>
      </w:r>
      <w:r>
        <w:rPr>
          <w:color w:val="auto"/>
          <w:highlight w:val="none"/>
          <w:vertAlign w:val="subscript"/>
        </w:rPr>
        <w:t>1</w:t>
      </w:r>
      <w:r>
        <w:rPr>
          <w:color w:val="auto"/>
          <w:highlight w:val="none"/>
        </w:rPr>
        <w:t xml:space="preserve">-OH. In </w:t>
      </w:r>
      <w:r>
        <w:rPr>
          <w:b/>
          <w:bCs/>
          <w:color w:val="auto"/>
          <w:highlight w:val="none"/>
        </w:rPr>
        <w:t>(F)</w:t>
      </w:r>
      <w:r>
        <w:rPr>
          <w:color w:val="auto"/>
          <w:highlight w:val="none"/>
        </w:rPr>
        <w:t xml:space="preserve"> µ</w:t>
      </w:r>
      <w:r>
        <w:rPr>
          <w:color w:val="auto"/>
          <w:highlight w:val="none"/>
          <w:vertAlign w:val="subscript"/>
        </w:rPr>
        <w:t>2</w:t>
      </w:r>
      <w:r>
        <w:rPr>
          <w:color w:val="auto"/>
          <w:highlight w:val="none"/>
        </w:rPr>
        <w:t>-O and µ</w:t>
      </w:r>
      <w:r>
        <w:rPr>
          <w:color w:val="auto"/>
          <w:highlight w:val="none"/>
          <w:vertAlign w:val="subscript"/>
        </w:rPr>
        <w:t>1</w:t>
      </w:r>
      <w:r>
        <w:rPr>
          <w:color w:val="auto"/>
          <w:highlight w:val="none"/>
        </w:rPr>
        <w:t xml:space="preserve">-O are present, while further oxidation to </w:t>
      </w:r>
      <w:r>
        <w:rPr>
          <w:b/>
          <w:bCs/>
          <w:color w:val="auto"/>
          <w:highlight w:val="none"/>
        </w:rPr>
        <w:t>(G)</w:t>
      </w:r>
      <w:r>
        <w:rPr>
          <w:color w:val="auto"/>
          <w:highlight w:val="none"/>
        </w:rPr>
        <w:t xml:space="preserve"> produces µ</w:t>
      </w:r>
      <w:r>
        <w:rPr>
          <w:color w:val="auto"/>
          <w:highlight w:val="none"/>
          <w:vertAlign w:val="subscript"/>
        </w:rPr>
        <w:t>2</w:t>
      </w:r>
      <w:r>
        <w:rPr>
          <w:color w:val="auto"/>
          <w:highlight w:val="none"/>
        </w:rPr>
        <w:t>-O and µ</w:t>
      </w:r>
      <w:r>
        <w:rPr>
          <w:color w:val="auto"/>
          <w:highlight w:val="none"/>
          <w:vertAlign w:val="subscript"/>
        </w:rPr>
        <w:t>1</w:t>
      </w:r>
      <w:r>
        <w:rPr>
          <w:color w:val="auto"/>
          <w:highlight w:val="none"/>
        </w:rPr>
        <w:t xml:space="preserve">-OOH before the most oxidized surface </w:t>
      </w:r>
      <w:r>
        <w:rPr>
          <w:b/>
          <w:bCs/>
          <w:color w:val="auto"/>
          <w:highlight w:val="none"/>
        </w:rPr>
        <w:t>(H)</w:t>
      </w:r>
      <w:r>
        <w:rPr>
          <w:color w:val="auto"/>
          <w:highlight w:val="none"/>
        </w:rPr>
        <w:t xml:space="preserve"> is reached, with µ</w:t>
      </w:r>
      <w:r>
        <w:rPr>
          <w:color w:val="auto"/>
          <w:highlight w:val="none"/>
          <w:vertAlign w:val="subscript"/>
        </w:rPr>
        <w:t>2</w:t>
      </w:r>
      <w:r>
        <w:rPr>
          <w:color w:val="auto"/>
          <w:highlight w:val="none"/>
        </w:rPr>
        <w:t>-O and µ</w:t>
      </w:r>
      <w:r>
        <w:rPr>
          <w:color w:val="auto"/>
          <w:highlight w:val="none"/>
          <w:vertAlign w:val="subscript"/>
        </w:rPr>
        <w:t>1</w:t>
      </w:r>
      <w:r>
        <w:rPr>
          <w:color w:val="auto"/>
          <w:highlight w:val="none"/>
        </w:rPr>
        <w:t>-OO.</w:t>
      </w:r>
    </w:p>
    <w:p>
      <w:pPr>
        <w:jc w:val="center"/>
        <w:rPr>
          <w:bCs/>
          <w:color w:val="auto"/>
          <w:highlight w:val="none"/>
        </w:rPr>
      </w:pPr>
      <w:r>
        <w:rPr>
          <w:bCs/>
          <w:color w:val="auto"/>
          <w:highlight w:val="none"/>
          <w:lang w:eastAsia="en-US"/>
        </w:rPr>
        <w:drawing>
          <wp:inline distT="0" distB="0" distL="114300" distR="114300">
            <wp:extent cx="5727065" cy="3918585"/>
            <wp:effectExtent l="0" t="0" r="6985" b="5715"/>
            <wp:docPr id="6" name="Picture 6" descr="Pictur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Picture3"/>
                    <pic:cNvPicPr>
                      <a:picLocks noChangeAspect="1"/>
                    </pic:cNvPicPr>
                  </pic:nvPicPr>
                  <pic:blipFill>
                    <a:blip r:embed="rId9"/>
                    <a:stretch>
                      <a:fillRect/>
                    </a:stretch>
                  </pic:blipFill>
                  <pic:spPr>
                    <a:xfrm>
                      <a:off x="0" y="0"/>
                      <a:ext cx="5727065" cy="3918585"/>
                    </a:xfrm>
                    <a:prstGeom prst="rect">
                      <a:avLst/>
                    </a:prstGeom>
                  </pic:spPr>
                </pic:pic>
              </a:graphicData>
            </a:graphic>
          </wp:inline>
        </w:drawing>
      </w:r>
    </w:p>
    <w:p>
      <w:pPr>
        <w:jc w:val="both"/>
        <w:rPr>
          <w:bCs/>
          <w:color w:val="auto"/>
          <w:highlight w:val="none"/>
        </w:rPr>
      </w:pPr>
      <w:r>
        <w:rPr>
          <w:b/>
          <w:bCs/>
          <w:color w:val="auto"/>
          <w:highlight w:val="none"/>
        </w:rPr>
        <w:t>Fig. S5</w:t>
      </w:r>
    </w:p>
    <w:p>
      <w:pPr>
        <w:jc w:val="both"/>
        <w:rPr>
          <w:color w:val="auto"/>
          <w:highlight w:val="none"/>
        </w:rPr>
      </w:pPr>
      <w:r>
        <w:rPr>
          <w:bCs/>
          <w:color w:val="auto"/>
          <w:highlight w:val="none"/>
        </w:rPr>
        <w:t>The surface terminations considered for IrO</w:t>
      </w:r>
      <w:r>
        <w:rPr>
          <w:bCs/>
          <w:color w:val="auto"/>
          <w:highlight w:val="none"/>
          <w:vertAlign w:val="subscript"/>
        </w:rPr>
        <w:t>2</w:t>
      </w:r>
      <w:r>
        <w:rPr>
          <w:bCs/>
          <w:color w:val="auto"/>
          <w:highlight w:val="none"/>
        </w:rPr>
        <w:t xml:space="preserve"> (001). In </w:t>
      </w:r>
      <w:r>
        <w:rPr>
          <w:b/>
          <w:color w:val="auto"/>
          <w:highlight w:val="none"/>
        </w:rPr>
        <w:t>(A)</w:t>
      </w:r>
      <w:r>
        <w:rPr>
          <w:bCs/>
          <w:color w:val="auto"/>
          <w:highlight w:val="none"/>
        </w:rPr>
        <w:t xml:space="preserve"> all surface </w:t>
      </w:r>
      <w:r>
        <w:rPr>
          <w:color w:val="auto"/>
          <w:highlight w:val="none"/>
        </w:rPr>
        <w:t>µ</w:t>
      </w:r>
      <w:r>
        <w:rPr>
          <w:color w:val="auto"/>
          <w:highlight w:val="none"/>
          <w:vertAlign w:val="subscript"/>
        </w:rPr>
        <w:t>2</w:t>
      </w:r>
      <w:r>
        <w:rPr>
          <w:color w:val="auto"/>
          <w:highlight w:val="none"/>
        </w:rPr>
        <w:t>-O and µ</w:t>
      </w:r>
      <w:r>
        <w:rPr>
          <w:color w:val="auto"/>
          <w:highlight w:val="none"/>
          <w:vertAlign w:val="subscript"/>
        </w:rPr>
        <w:t>1</w:t>
      </w:r>
      <w:r>
        <w:rPr>
          <w:color w:val="auto"/>
          <w:highlight w:val="none"/>
        </w:rPr>
        <w:t>-O are hydroxylated. The µ</w:t>
      </w:r>
      <w:r>
        <w:rPr>
          <w:color w:val="auto"/>
          <w:highlight w:val="none"/>
          <w:vertAlign w:val="subscript"/>
        </w:rPr>
        <w:t>2</w:t>
      </w:r>
      <w:r>
        <w:rPr>
          <w:color w:val="auto"/>
          <w:highlight w:val="none"/>
        </w:rPr>
        <w:t xml:space="preserve">-OH sites are progressively hydroxlated from </w:t>
      </w:r>
      <w:r>
        <w:rPr>
          <w:b/>
          <w:bCs/>
          <w:color w:val="auto"/>
          <w:highlight w:val="none"/>
        </w:rPr>
        <w:t>(B)</w:t>
      </w:r>
      <w:r>
        <w:rPr>
          <w:color w:val="auto"/>
          <w:highlight w:val="none"/>
        </w:rPr>
        <w:t xml:space="preserve"> to </w:t>
      </w:r>
      <w:r>
        <w:rPr>
          <w:b/>
          <w:bCs/>
          <w:color w:val="auto"/>
          <w:highlight w:val="none"/>
        </w:rPr>
        <w:t>(C)</w:t>
      </w:r>
      <w:r>
        <w:rPr>
          <w:color w:val="auto"/>
          <w:highlight w:val="none"/>
        </w:rPr>
        <w:t xml:space="preserve">, where in </w:t>
      </w:r>
      <w:r>
        <w:rPr>
          <w:b/>
          <w:bCs/>
          <w:color w:val="auto"/>
          <w:highlight w:val="none"/>
        </w:rPr>
        <w:t>(C)</w:t>
      </w:r>
      <w:r>
        <w:rPr>
          <w:color w:val="auto"/>
          <w:highlight w:val="none"/>
        </w:rPr>
        <w:t xml:space="preserve"> the surface has µ</w:t>
      </w:r>
      <w:r>
        <w:rPr>
          <w:color w:val="auto"/>
          <w:highlight w:val="none"/>
          <w:vertAlign w:val="subscript"/>
        </w:rPr>
        <w:t>2</w:t>
      </w:r>
      <w:r>
        <w:rPr>
          <w:color w:val="auto"/>
          <w:highlight w:val="none"/>
        </w:rPr>
        <w:t>-O and µ</w:t>
      </w:r>
      <w:r>
        <w:rPr>
          <w:color w:val="auto"/>
          <w:highlight w:val="none"/>
          <w:vertAlign w:val="subscript"/>
        </w:rPr>
        <w:t>1</w:t>
      </w:r>
      <w:r>
        <w:rPr>
          <w:color w:val="auto"/>
          <w:highlight w:val="none"/>
        </w:rPr>
        <w:t xml:space="preserve">-OH. In </w:t>
      </w:r>
      <w:r>
        <w:rPr>
          <w:b/>
          <w:bCs/>
          <w:color w:val="auto"/>
          <w:highlight w:val="none"/>
        </w:rPr>
        <w:t>(D)</w:t>
      </w:r>
      <w:r>
        <w:rPr>
          <w:color w:val="auto"/>
          <w:highlight w:val="none"/>
        </w:rPr>
        <w:t xml:space="preserve"> µ</w:t>
      </w:r>
      <w:r>
        <w:rPr>
          <w:color w:val="auto"/>
          <w:highlight w:val="none"/>
          <w:vertAlign w:val="subscript"/>
        </w:rPr>
        <w:t>1</w:t>
      </w:r>
      <w:r>
        <w:rPr>
          <w:color w:val="auto"/>
          <w:highlight w:val="none"/>
        </w:rPr>
        <w:t>-OH and µ</w:t>
      </w:r>
      <w:r>
        <w:rPr>
          <w:color w:val="auto"/>
          <w:highlight w:val="none"/>
          <w:vertAlign w:val="subscript"/>
        </w:rPr>
        <w:t>1</w:t>
      </w:r>
      <w:r>
        <w:rPr>
          <w:color w:val="auto"/>
          <w:highlight w:val="none"/>
        </w:rPr>
        <w:t xml:space="preserve">-O are present, while further oxidation to </w:t>
      </w:r>
      <w:r>
        <w:rPr>
          <w:b/>
          <w:bCs/>
          <w:color w:val="auto"/>
          <w:highlight w:val="none"/>
        </w:rPr>
        <w:t>(E)</w:t>
      </w:r>
      <w:r>
        <w:rPr>
          <w:color w:val="auto"/>
          <w:highlight w:val="none"/>
        </w:rPr>
        <w:t xml:space="preserve"> produces µ</w:t>
      </w:r>
      <w:r>
        <w:rPr>
          <w:color w:val="auto"/>
          <w:highlight w:val="none"/>
          <w:vertAlign w:val="subscript"/>
        </w:rPr>
        <w:t>2</w:t>
      </w:r>
      <w:r>
        <w:rPr>
          <w:color w:val="auto"/>
          <w:highlight w:val="none"/>
        </w:rPr>
        <w:t>-O. Two µ</w:t>
      </w:r>
      <w:r>
        <w:rPr>
          <w:color w:val="auto"/>
          <w:highlight w:val="none"/>
          <w:vertAlign w:val="subscript"/>
        </w:rPr>
        <w:t>1</w:t>
      </w:r>
      <w:r>
        <w:rPr>
          <w:color w:val="auto"/>
          <w:highlight w:val="none"/>
        </w:rPr>
        <w:t xml:space="preserve">-OOH species are shown in </w:t>
      </w:r>
      <w:r>
        <w:rPr>
          <w:b/>
          <w:bCs/>
          <w:color w:val="auto"/>
          <w:highlight w:val="none"/>
        </w:rPr>
        <w:t>(F)</w:t>
      </w:r>
      <w:r>
        <w:rPr>
          <w:color w:val="auto"/>
          <w:highlight w:val="none"/>
        </w:rPr>
        <w:t>, and µ</w:t>
      </w:r>
      <w:r>
        <w:rPr>
          <w:color w:val="auto"/>
          <w:highlight w:val="none"/>
          <w:vertAlign w:val="subscript"/>
        </w:rPr>
        <w:t>2</w:t>
      </w:r>
      <w:r>
        <w:rPr>
          <w:color w:val="auto"/>
          <w:highlight w:val="none"/>
        </w:rPr>
        <w:t>-O and µ</w:t>
      </w:r>
      <w:r>
        <w:rPr>
          <w:color w:val="auto"/>
          <w:highlight w:val="none"/>
          <w:vertAlign w:val="subscript"/>
        </w:rPr>
        <w:t>1</w:t>
      </w:r>
      <w:r>
        <w:rPr>
          <w:color w:val="auto"/>
          <w:highlight w:val="none"/>
        </w:rPr>
        <w:t xml:space="preserve">-OO in </w:t>
      </w:r>
      <w:r>
        <w:rPr>
          <w:b/>
          <w:bCs/>
          <w:color w:val="auto"/>
          <w:highlight w:val="none"/>
        </w:rPr>
        <w:t>(G)</w:t>
      </w:r>
      <w:r>
        <w:rPr>
          <w:color w:val="auto"/>
          <w:highlight w:val="none"/>
        </w:rPr>
        <w:t>.</w:t>
      </w:r>
    </w:p>
    <w:p>
      <w:pPr>
        <w:jc w:val="both"/>
        <w:rPr>
          <w:color w:val="auto"/>
          <w:highlight w:val="none"/>
        </w:rPr>
      </w:pPr>
      <w:r>
        <w:rPr>
          <w:b/>
          <w:bCs/>
          <w:color w:val="auto"/>
          <w:highlight w:val="none"/>
        </w:rPr>
        <w:t>Table S1</w:t>
      </w:r>
      <w:r>
        <w:rPr>
          <w:bCs/>
          <w:color w:val="auto"/>
          <w:highlight w:val="none"/>
        </w:rPr>
        <w:t xml:space="preserve">: Computed Ir 4f binding energies of iridium bound to </w:t>
      </w:r>
      <w:r>
        <w:rPr>
          <w:color w:val="auto"/>
          <w:highlight w:val="none"/>
        </w:rPr>
        <w:t>µ</w:t>
      </w:r>
      <w:r>
        <w:rPr>
          <w:color w:val="auto"/>
          <w:highlight w:val="none"/>
          <w:vertAlign w:val="subscript"/>
        </w:rPr>
        <w:t>1</w:t>
      </w:r>
      <w:r>
        <w:rPr>
          <w:color w:val="auto"/>
          <w:highlight w:val="none"/>
        </w:rPr>
        <w:t>-O(H) for IrO</w:t>
      </w:r>
      <w:r>
        <w:rPr>
          <w:color w:val="auto"/>
          <w:highlight w:val="none"/>
          <w:vertAlign w:val="subscript"/>
        </w:rPr>
        <w:t>2</w:t>
      </w:r>
      <w:r>
        <w:rPr>
          <w:color w:val="auto"/>
          <w:highlight w:val="none"/>
        </w:rPr>
        <w:t xml:space="preserve"> (110) and (111) surfaces with varying degrees of surface oxidation. All µ</w:t>
      </w:r>
      <w:r>
        <w:rPr>
          <w:color w:val="auto"/>
          <w:highlight w:val="none"/>
          <w:vertAlign w:val="subscript"/>
        </w:rPr>
        <w:t>2</w:t>
      </w:r>
      <w:r>
        <w:rPr>
          <w:color w:val="auto"/>
          <w:highlight w:val="none"/>
        </w:rPr>
        <w:t>-sites are O.</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34"/>
        <w:gridCol w:w="1934"/>
        <w:gridCol w:w="1934"/>
        <w:gridCol w:w="1955"/>
        <w:gridCol w:w="1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934" w:type="dxa"/>
            <w:shd w:val="clear" w:color="auto" w:fill="D7D7D7" w:themeFill="background1" w:themeFillShade="D8"/>
          </w:tcPr>
          <w:p>
            <w:pPr>
              <w:jc w:val="center"/>
              <w:rPr>
                <w:b/>
                <w:bCs/>
                <w:color w:val="auto"/>
                <w:sz w:val="22"/>
                <w:szCs w:val="22"/>
                <w:highlight w:val="none"/>
              </w:rPr>
            </w:pPr>
            <w:r>
              <w:rPr>
                <w:b/>
                <w:bCs/>
                <w:color w:val="auto"/>
                <w:sz w:val="22"/>
                <w:szCs w:val="22"/>
                <w:highlight w:val="none"/>
              </w:rPr>
              <w:t>µ</w:t>
            </w:r>
            <w:r>
              <w:rPr>
                <w:b/>
                <w:bCs/>
                <w:color w:val="auto"/>
                <w:sz w:val="22"/>
                <w:szCs w:val="22"/>
                <w:highlight w:val="none"/>
                <w:vertAlign w:val="subscript"/>
              </w:rPr>
              <w:t>1</w:t>
            </w:r>
            <w:r>
              <w:rPr>
                <w:b/>
                <w:bCs/>
                <w:color w:val="auto"/>
                <w:sz w:val="22"/>
                <w:szCs w:val="22"/>
                <w:highlight w:val="none"/>
              </w:rPr>
              <w:t>-site</w:t>
            </w:r>
          </w:p>
        </w:tc>
        <w:tc>
          <w:tcPr>
            <w:tcW w:w="1934" w:type="dxa"/>
            <w:shd w:val="clear" w:color="auto" w:fill="D7D7D7" w:themeFill="background1" w:themeFillShade="D8"/>
          </w:tcPr>
          <w:p>
            <w:pPr>
              <w:jc w:val="center"/>
              <w:rPr>
                <w:b/>
                <w:bCs/>
                <w:color w:val="auto"/>
                <w:sz w:val="22"/>
                <w:szCs w:val="22"/>
                <w:highlight w:val="none"/>
              </w:rPr>
            </w:pPr>
            <w:r>
              <w:rPr>
                <w:b/>
                <w:bCs/>
                <w:color w:val="auto"/>
                <w:sz w:val="22"/>
                <w:szCs w:val="22"/>
                <w:highlight w:val="none"/>
              </w:rPr>
              <w:t>(110) Ir 4f / eV</w:t>
            </w:r>
          </w:p>
        </w:tc>
        <w:tc>
          <w:tcPr>
            <w:tcW w:w="1934" w:type="dxa"/>
            <w:shd w:val="clear" w:color="auto" w:fill="D7D7D7" w:themeFill="background1" w:themeFillShade="D8"/>
          </w:tcPr>
          <w:p>
            <w:pPr>
              <w:jc w:val="center"/>
              <w:rPr>
                <w:b/>
                <w:bCs/>
                <w:color w:val="auto"/>
                <w:sz w:val="22"/>
                <w:szCs w:val="22"/>
                <w:highlight w:val="none"/>
              </w:rPr>
            </w:pPr>
            <w:r>
              <w:rPr>
                <w:b/>
                <w:bCs/>
                <w:color w:val="auto"/>
                <w:sz w:val="22"/>
                <w:szCs w:val="22"/>
                <w:highlight w:val="none"/>
              </w:rPr>
              <w:t>(111) Ir 4f / eV</w:t>
            </w:r>
          </w:p>
        </w:tc>
        <w:tc>
          <w:tcPr>
            <w:tcW w:w="1955" w:type="dxa"/>
            <w:shd w:val="clear" w:color="auto" w:fill="D7D7D7" w:themeFill="background1" w:themeFillShade="D8"/>
          </w:tcPr>
          <w:p>
            <w:pPr>
              <w:jc w:val="center"/>
              <w:rPr>
                <w:b/>
                <w:bCs/>
                <w:color w:val="auto"/>
                <w:sz w:val="22"/>
                <w:szCs w:val="22"/>
                <w:highlight w:val="none"/>
              </w:rPr>
            </w:pPr>
            <w:r>
              <w:rPr>
                <w:b/>
                <w:bCs/>
                <w:color w:val="auto"/>
                <w:sz w:val="22"/>
                <w:szCs w:val="22"/>
                <w:highlight w:val="none"/>
              </w:rPr>
              <w:t>(001) Ir 4f / eV</w:t>
            </w:r>
          </w:p>
        </w:tc>
        <w:tc>
          <w:tcPr>
            <w:tcW w:w="1819" w:type="dxa"/>
            <w:shd w:val="clear" w:color="auto" w:fill="D7D7D7" w:themeFill="background1" w:themeFillShade="D8"/>
          </w:tcPr>
          <w:p>
            <w:pPr>
              <w:jc w:val="center"/>
              <w:rPr>
                <w:b/>
                <w:bCs/>
                <w:color w:val="auto"/>
                <w:sz w:val="22"/>
                <w:szCs w:val="22"/>
                <w:highlight w:val="none"/>
              </w:rPr>
            </w:pPr>
            <w:r>
              <w:rPr>
                <w:b/>
                <w:bCs/>
                <w:color w:val="auto"/>
                <w:sz w:val="22"/>
                <w:szCs w:val="22"/>
                <w:highlight w:val="none"/>
              </w:rPr>
              <w:t>(210) Ir 4f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1934" w:type="dxa"/>
            <w:shd w:val="clear" w:color="auto" w:fill="D7D7D7" w:themeFill="background1" w:themeFillShade="D8"/>
          </w:tcPr>
          <w:p>
            <w:pPr>
              <w:jc w:val="center"/>
              <w:rPr>
                <w:b/>
                <w:color w:val="auto"/>
                <w:sz w:val="22"/>
                <w:szCs w:val="22"/>
                <w:highlight w:val="none"/>
              </w:rPr>
            </w:pPr>
            <w:r>
              <w:rPr>
                <w:b/>
                <w:color w:val="auto"/>
                <w:sz w:val="22"/>
                <w:szCs w:val="22"/>
                <w:highlight w:val="none"/>
              </w:rPr>
              <w:t>OH</w:t>
            </w:r>
          </w:p>
        </w:tc>
        <w:tc>
          <w:tcPr>
            <w:tcW w:w="1934" w:type="dxa"/>
          </w:tcPr>
          <w:p>
            <w:pPr>
              <w:jc w:val="center"/>
              <w:rPr>
                <w:bCs/>
                <w:color w:val="auto"/>
                <w:sz w:val="22"/>
                <w:szCs w:val="22"/>
                <w:highlight w:val="none"/>
              </w:rPr>
            </w:pPr>
            <w:r>
              <w:rPr>
                <w:bCs/>
                <w:color w:val="auto"/>
                <w:sz w:val="22"/>
                <w:szCs w:val="22"/>
                <w:highlight w:val="none"/>
              </w:rPr>
              <w:t>61.8</w:t>
            </w:r>
          </w:p>
        </w:tc>
        <w:tc>
          <w:tcPr>
            <w:tcW w:w="1934" w:type="dxa"/>
          </w:tcPr>
          <w:p>
            <w:pPr>
              <w:jc w:val="center"/>
              <w:rPr>
                <w:bCs/>
                <w:color w:val="auto"/>
                <w:sz w:val="22"/>
                <w:szCs w:val="22"/>
                <w:highlight w:val="none"/>
              </w:rPr>
            </w:pPr>
            <w:r>
              <w:rPr>
                <w:bCs/>
                <w:color w:val="auto"/>
                <w:sz w:val="22"/>
                <w:szCs w:val="22"/>
                <w:highlight w:val="none"/>
              </w:rPr>
              <w:t>62.5</w:t>
            </w:r>
          </w:p>
        </w:tc>
        <w:tc>
          <w:tcPr>
            <w:tcW w:w="1955" w:type="dxa"/>
          </w:tcPr>
          <w:p>
            <w:pPr>
              <w:jc w:val="center"/>
              <w:rPr>
                <w:bCs/>
                <w:color w:val="auto"/>
                <w:sz w:val="22"/>
                <w:szCs w:val="22"/>
                <w:highlight w:val="none"/>
              </w:rPr>
            </w:pPr>
            <w:r>
              <w:rPr>
                <w:bCs/>
                <w:color w:val="auto"/>
                <w:sz w:val="22"/>
                <w:szCs w:val="22"/>
                <w:highlight w:val="none"/>
              </w:rPr>
              <w:t>62.4</w:t>
            </w:r>
          </w:p>
        </w:tc>
        <w:tc>
          <w:tcPr>
            <w:tcW w:w="1819" w:type="dxa"/>
          </w:tcPr>
          <w:p>
            <w:pPr>
              <w:jc w:val="center"/>
              <w:rPr>
                <w:bCs/>
                <w:color w:val="auto"/>
                <w:sz w:val="22"/>
                <w:szCs w:val="22"/>
                <w:highlight w:val="none"/>
              </w:rPr>
            </w:pPr>
            <w:r>
              <w:rPr>
                <w:bCs/>
                <w:color w:val="auto"/>
                <w:sz w:val="22"/>
                <w:szCs w:val="22"/>
                <w:highlight w:val="none"/>
              </w:rPr>
              <w:t>61.8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1934" w:type="dxa"/>
            <w:shd w:val="clear" w:color="auto" w:fill="D7D7D7" w:themeFill="background1" w:themeFillShade="D8"/>
          </w:tcPr>
          <w:p>
            <w:pPr>
              <w:jc w:val="center"/>
              <w:rPr>
                <w:b/>
                <w:color w:val="auto"/>
                <w:sz w:val="22"/>
                <w:szCs w:val="22"/>
                <w:highlight w:val="none"/>
              </w:rPr>
            </w:pPr>
            <w:r>
              <w:rPr>
                <w:b/>
                <w:color w:val="auto"/>
                <w:sz w:val="22"/>
                <w:szCs w:val="22"/>
                <w:highlight w:val="none"/>
              </w:rPr>
              <w:t>O</w:t>
            </w:r>
          </w:p>
        </w:tc>
        <w:tc>
          <w:tcPr>
            <w:tcW w:w="1934" w:type="dxa"/>
          </w:tcPr>
          <w:p>
            <w:pPr>
              <w:jc w:val="center"/>
              <w:rPr>
                <w:bCs/>
                <w:color w:val="auto"/>
                <w:sz w:val="22"/>
                <w:szCs w:val="22"/>
                <w:highlight w:val="none"/>
              </w:rPr>
            </w:pPr>
            <w:r>
              <w:rPr>
                <w:bCs/>
                <w:color w:val="auto"/>
                <w:sz w:val="22"/>
                <w:szCs w:val="22"/>
                <w:highlight w:val="none"/>
              </w:rPr>
              <w:t>62.5</w:t>
            </w:r>
          </w:p>
        </w:tc>
        <w:tc>
          <w:tcPr>
            <w:tcW w:w="1934" w:type="dxa"/>
          </w:tcPr>
          <w:p>
            <w:pPr>
              <w:jc w:val="center"/>
              <w:rPr>
                <w:bCs/>
                <w:color w:val="auto"/>
                <w:sz w:val="22"/>
                <w:szCs w:val="22"/>
                <w:highlight w:val="none"/>
              </w:rPr>
            </w:pPr>
            <w:r>
              <w:rPr>
                <w:bCs/>
                <w:color w:val="auto"/>
                <w:sz w:val="22"/>
                <w:szCs w:val="22"/>
                <w:highlight w:val="none"/>
              </w:rPr>
              <w:t>63.3</w:t>
            </w:r>
          </w:p>
        </w:tc>
        <w:tc>
          <w:tcPr>
            <w:tcW w:w="1955" w:type="dxa"/>
          </w:tcPr>
          <w:p>
            <w:pPr>
              <w:jc w:val="center"/>
              <w:rPr>
                <w:bCs/>
                <w:color w:val="auto"/>
                <w:sz w:val="22"/>
                <w:szCs w:val="22"/>
                <w:highlight w:val="none"/>
                <w:vertAlign w:val="superscript"/>
              </w:rPr>
            </w:pPr>
            <w:r>
              <w:rPr>
                <w:bCs/>
                <w:color w:val="auto"/>
                <w:sz w:val="22"/>
                <w:szCs w:val="22"/>
                <w:highlight w:val="none"/>
              </w:rPr>
              <w:t>62.8</w:t>
            </w:r>
            <w:r>
              <w:rPr>
                <w:bCs/>
                <w:color w:val="auto"/>
                <w:sz w:val="22"/>
                <w:szCs w:val="22"/>
                <w:highlight w:val="none"/>
                <w:vertAlign w:val="superscript"/>
              </w:rPr>
              <w:t>a</w:t>
            </w:r>
            <w:r>
              <w:rPr>
                <w:bCs/>
                <w:color w:val="auto"/>
                <w:sz w:val="22"/>
                <w:szCs w:val="22"/>
                <w:highlight w:val="none"/>
              </w:rPr>
              <w:t>, 63.5</w:t>
            </w:r>
            <w:r>
              <w:rPr>
                <w:bCs/>
                <w:color w:val="auto"/>
                <w:sz w:val="22"/>
                <w:szCs w:val="22"/>
                <w:highlight w:val="none"/>
                <w:vertAlign w:val="superscript"/>
              </w:rPr>
              <w:t>b</w:t>
            </w:r>
          </w:p>
        </w:tc>
        <w:tc>
          <w:tcPr>
            <w:tcW w:w="1819" w:type="dxa"/>
          </w:tcPr>
          <w:p>
            <w:pPr>
              <w:jc w:val="center"/>
              <w:rPr>
                <w:bCs/>
                <w:color w:val="auto"/>
                <w:sz w:val="22"/>
                <w:szCs w:val="22"/>
                <w:highlight w:val="none"/>
              </w:rPr>
            </w:pPr>
            <w:r>
              <w:rPr>
                <w:bCs/>
                <w:color w:val="auto"/>
                <w:sz w:val="22"/>
                <w:szCs w:val="22"/>
                <w:highlight w:val="none"/>
              </w:rPr>
              <w:t>62.5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1934" w:type="dxa"/>
            <w:shd w:val="clear" w:color="auto" w:fill="D7D7D7" w:themeFill="background1" w:themeFillShade="D8"/>
          </w:tcPr>
          <w:p>
            <w:pPr>
              <w:jc w:val="center"/>
              <w:rPr>
                <w:b/>
                <w:color w:val="auto"/>
                <w:sz w:val="22"/>
                <w:szCs w:val="22"/>
                <w:highlight w:val="none"/>
              </w:rPr>
            </w:pPr>
            <w:r>
              <w:rPr>
                <w:b/>
                <w:color w:val="auto"/>
                <w:sz w:val="22"/>
                <w:szCs w:val="22"/>
                <w:highlight w:val="none"/>
              </w:rPr>
              <w:t>OOH</w:t>
            </w:r>
          </w:p>
        </w:tc>
        <w:tc>
          <w:tcPr>
            <w:tcW w:w="1934" w:type="dxa"/>
          </w:tcPr>
          <w:p>
            <w:pPr>
              <w:jc w:val="center"/>
              <w:rPr>
                <w:bCs/>
                <w:color w:val="auto"/>
                <w:sz w:val="22"/>
                <w:szCs w:val="22"/>
                <w:highlight w:val="none"/>
              </w:rPr>
            </w:pPr>
            <w:r>
              <w:rPr>
                <w:bCs/>
                <w:color w:val="auto"/>
                <w:sz w:val="22"/>
                <w:szCs w:val="22"/>
                <w:highlight w:val="none"/>
              </w:rPr>
              <w:t>61.9</w:t>
            </w:r>
          </w:p>
        </w:tc>
        <w:tc>
          <w:tcPr>
            <w:tcW w:w="1934" w:type="dxa"/>
          </w:tcPr>
          <w:p>
            <w:pPr>
              <w:jc w:val="center"/>
              <w:rPr>
                <w:bCs/>
                <w:color w:val="auto"/>
                <w:sz w:val="22"/>
                <w:szCs w:val="22"/>
                <w:highlight w:val="none"/>
              </w:rPr>
            </w:pPr>
            <w:r>
              <w:rPr>
                <w:bCs/>
                <w:color w:val="auto"/>
                <w:sz w:val="22"/>
                <w:szCs w:val="22"/>
                <w:highlight w:val="none"/>
              </w:rPr>
              <w:t>62.4</w:t>
            </w:r>
          </w:p>
        </w:tc>
        <w:tc>
          <w:tcPr>
            <w:tcW w:w="1955" w:type="dxa"/>
          </w:tcPr>
          <w:p>
            <w:pPr>
              <w:jc w:val="center"/>
              <w:rPr>
                <w:bCs/>
                <w:color w:val="auto"/>
                <w:sz w:val="22"/>
                <w:szCs w:val="22"/>
                <w:highlight w:val="none"/>
              </w:rPr>
            </w:pPr>
            <w:r>
              <w:rPr>
                <w:bCs/>
                <w:color w:val="auto"/>
                <w:sz w:val="22"/>
                <w:szCs w:val="22"/>
                <w:highlight w:val="none"/>
              </w:rPr>
              <w:t>62.4</w:t>
            </w:r>
          </w:p>
        </w:tc>
        <w:tc>
          <w:tcPr>
            <w:tcW w:w="1819" w:type="dxa"/>
          </w:tcPr>
          <w:p>
            <w:pPr>
              <w:jc w:val="center"/>
              <w:rPr>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934" w:type="dxa"/>
            <w:shd w:val="clear" w:color="auto" w:fill="D7D7D7" w:themeFill="background1" w:themeFillShade="D8"/>
          </w:tcPr>
          <w:p>
            <w:pPr>
              <w:jc w:val="center"/>
              <w:rPr>
                <w:b/>
                <w:color w:val="auto"/>
                <w:sz w:val="22"/>
                <w:szCs w:val="22"/>
                <w:highlight w:val="none"/>
              </w:rPr>
            </w:pPr>
            <w:r>
              <w:rPr>
                <w:b/>
                <w:color w:val="auto"/>
                <w:sz w:val="22"/>
                <w:szCs w:val="22"/>
                <w:highlight w:val="none"/>
              </w:rPr>
              <w:t>OO</w:t>
            </w:r>
          </w:p>
        </w:tc>
        <w:tc>
          <w:tcPr>
            <w:tcW w:w="1934" w:type="dxa"/>
          </w:tcPr>
          <w:p>
            <w:pPr>
              <w:jc w:val="center"/>
              <w:rPr>
                <w:bCs/>
                <w:color w:val="auto"/>
                <w:sz w:val="22"/>
                <w:szCs w:val="22"/>
                <w:highlight w:val="none"/>
              </w:rPr>
            </w:pPr>
            <w:r>
              <w:rPr>
                <w:bCs/>
                <w:color w:val="auto"/>
                <w:sz w:val="22"/>
                <w:szCs w:val="22"/>
                <w:highlight w:val="none"/>
              </w:rPr>
              <w:t>61.6</w:t>
            </w:r>
          </w:p>
        </w:tc>
        <w:tc>
          <w:tcPr>
            <w:tcW w:w="1934" w:type="dxa"/>
          </w:tcPr>
          <w:p>
            <w:pPr>
              <w:jc w:val="center"/>
              <w:rPr>
                <w:bCs/>
                <w:color w:val="auto"/>
                <w:sz w:val="22"/>
                <w:szCs w:val="22"/>
                <w:highlight w:val="none"/>
              </w:rPr>
            </w:pPr>
            <w:r>
              <w:rPr>
                <w:bCs/>
                <w:color w:val="auto"/>
                <w:sz w:val="22"/>
                <w:szCs w:val="22"/>
                <w:highlight w:val="none"/>
              </w:rPr>
              <w:t>62.0</w:t>
            </w:r>
          </w:p>
        </w:tc>
        <w:tc>
          <w:tcPr>
            <w:tcW w:w="1955" w:type="dxa"/>
          </w:tcPr>
          <w:p>
            <w:pPr>
              <w:jc w:val="center"/>
              <w:rPr>
                <w:bCs/>
                <w:color w:val="auto"/>
                <w:sz w:val="22"/>
                <w:szCs w:val="22"/>
                <w:highlight w:val="none"/>
              </w:rPr>
            </w:pPr>
            <w:r>
              <w:rPr>
                <w:bCs/>
                <w:color w:val="auto"/>
                <w:sz w:val="22"/>
                <w:szCs w:val="22"/>
                <w:highlight w:val="none"/>
              </w:rPr>
              <w:t>61.8</w:t>
            </w:r>
          </w:p>
        </w:tc>
        <w:tc>
          <w:tcPr>
            <w:tcW w:w="1819" w:type="dxa"/>
          </w:tcPr>
          <w:p>
            <w:pPr>
              <w:jc w:val="center"/>
              <w:rPr>
                <w:bCs/>
                <w:color w:val="auto"/>
                <w:sz w:val="22"/>
                <w:szCs w:val="22"/>
                <w:highlight w:val="none"/>
              </w:rPr>
            </w:pPr>
          </w:p>
        </w:tc>
      </w:tr>
    </w:tbl>
    <w:p>
      <w:pPr>
        <w:jc w:val="both"/>
        <w:rPr>
          <w:color w:val="auto"/>
          <w:highlight w:val="none"/>
        </w:rPr>
      </w:pPr>
      <w:r>
        <w:rPr>
          <w:bCs/>
          <w:color w:val="auto"/>
          <w:highlight w:val="none"/>
          <w:vertAlign w:val="superscript"/>
        </w:rPr>
        <w:t>a</w:t>
      </w:r>
      <w:r>
        <w:rPr>
          <w:bCs/>
          <w:color w:val="auto"/>
          <w:highlight w:val="none"/>
        </w:rPr>
        <w:t xml:space="preserve">For the (001) surface the surface Ir is bound to one </w:t>
      </w:r>
      <w:r>
        <w:rPr>
          <w:color w:val="auto"/>
          <w:highlight w:val="none"/>
        </w:rPr>
        <w:t>µ</w:t>
      </w:r>
      <w:r>
        <w:rPr>
          <w:color w:val="auto"/>
          <w:highlight w:val="none"/>
          <w:vertAlign w:val="subscript"/>
        </w:rPr>
        <w:t>1</w:t>
      </w:r>
      <w:r>
        <w:rPr>
          <w:color w:val="auto"/>
          <w:highlight w:val="none"/>
        </w:rPr>
        <w:t>-OH and one µ</w:t>
      </w:r>
      <w:r>
        <w:rPr>
          <w:color w:val="auto"/>
          <w:highlight w:val="none"/>
          <w:vertAlign w:val="subscript"/>
        </w:rPr>
        <w:t>1</w:t>
      </w:r>
      <w:r>
        <w:rPr>
          <w:color w:val="auto"/>
          <w:highlight w:val="none"/>
        </w:rPr>
        <w:t xml:space="preserve">-OH. </w:t>
      </w:r>
    </w:p>
    <w:p>
      <w:pPr>
        <w:jc w:val="both"/>
        <w:rPr>
          <w:bCs/>
          <w:color w:val="auto"/>
          <w:highlight w:val="none"/>
        </w:rPr>
      </w:pPr>
      <w:r>
        <w:rPr>
          <w:bCs/>
          <w:color w:val="auto"/>
          <w:highlight w:val="none"/>
          <w:vertAlign w:val="superscript"/>
        </w:rPr>
        <w:t>b</w:t>
      </w:r>
      <w:r>
        <w:rPr>
          <w:bCs/>
          <w:color w:val="auto"/>
          <w:highlight w:val="none"/>
        </w:rPr>
        <w:t xml:space="preserve">For the (001) surface the surface Ir is bound to two </w:t>
      </w:r>
      <w:r>
        <w:rPr>
          <w:color w:val="auto"/>
          <w:highlight w:val="none"/>
        </w:rPr>
        <w:t>µ</w:t>
      </w:r>
      <w:r>
        <w:rPr>
          <w:color w:val="auto"/>
          <w:highlight w:val="none"/>
          <w:vertAlign w:val="subscript"/>
        </w:rPr>
        <w:t>1</w:t>
      </w:r>
      <w:r>
        <w:rPr>
          <w:color w:val="auto"/>
          <w:highlight w:val="none"/>
        </w:rPr>
        <w:t xml:space="preserve">-O. </w:t>
      </w:r>
    </w:p>
    <w:p>
      <w:pPr>
        <w:spacing w:after="0"/>
        <w:jc w:val="center"/>
        <w:rPr>
          <w:color w:val="auto"/>
          <w:highlight w:val="none"/>
          <w:lang w:eastAsia="en-US"/>
        </w:rPr>
      </w:pPr>
      <w:r>
        <w:rPr>
          <w:color w:val="auto"/>
          <w:highlight w:val="none"/>
          <w:lang w:eastAsia="en-US"/>
        </w:rPr>
        <w:drawing>
          <wp:inline distT="0" distB="0" distL="114300" distR="114300">
            <wp:extent cx="3784600" cy="3088005"/>
            <wp:effectExtent l="0" t="0" r="6350" b="17145"/>
            <wp:docPr id="4" name="Picture 4" descr="Graph2 -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2 - Copy"/>
                    <pic:cNvPicPr>
                      <a:picLocks noChangeAspect="1"/>
                    </pic:cNvPicPr>
                  </pic:nvPicPr>
                  <pic:blipFill>
                    <a:blip r:embed="rId10"/>
                    <a:srcRect l="3816" t="8451" r="12058" b="1928"/>
                    <a:stretch>
                      <a:fillRect/>
                    </a:stretch>
                  </pic:blipFill>
                  <pic:spPr>
                    <a:xfrm>
                      <a:off x="0" y="0"/>
                      <a:ext cx="3784600" cy="3088005"/>
                    </a:xfrm>
                    <a:prstGeom prst="rect">
                      <a:avLst/>
                    </a:prstGeom>
                  </pic:spPr>
                </pic:pic>
              </a:graphicData>
            </a:graphic>
          </wp:inline>
        </w:drawing>
      </w:r>
    </w:p>
    <w:p>
      <w:pPr>
        <w:spacing w:after="0"/>
        <w:jc w:val="both"/>
        <w:rPr>
          <w:color w:val="auto"/>
          <w:highlight w:val="none"/>
        </w:rPr>
      </w:pPr>
      <w:r>
        <w:rPr>
          <w:b/>
          <w:bCs/>
          <w:color w:val="auto"/>
          <w:highlight w:val="none"/>
        </w:rPr>
        <w:t>Fig. S6</w:t>
      </w:r>
    </w:p>
    <w:p>
      <w:pPr>
        <w:spacing w:after="0"/>
        <w:jc w:val="both"/>
        <w:rPr>
          <w:color w:val="auto"/>
          <w:highlight w:val="none"/>
        </w:rPr>
      </w:pPr>
    </w:p>
    <w:p>
      <w:pPr>
        <w:spacing w:after="0"/>
        <w:jc w:val="both"/>
        <w:rPr>
          <w:color w:val="auto"/>
          <w:highlight w:val="none"/>
        </w:rPr>
      </w:pPr>
      <w:r>
        <w:rPr>
          <w:color w:val="auto"/>
          <w:highlight w:val="none"/>
        </w:rPr>
        <w:t>Correlation between Ir formal oxidation state and Ir 4f shift</w:t>
      </w:r>
    </w:p>
    <w:p>
      <w:pPr>
        <w:spacing w:after="0"/>
        <w:jc w:val="both"/>
        <w:rPr>
          <w:color w:val="auto"/>
          <w:highlight w:val="none"/>
        </w:rPr>
      </w:pPr>
    </w:p>
    <w:p>
      <w:pPr>
        <w:spacing w:after="0"/>
        <w:jc w:val="center"/>
        <w:rPr>
          <w:color w:val="auto"/>
          <w:highlight w:val="none"/>
          <w:lang w:eastAsia="en-US"/>
        </w:rPr>
      </w:pPr>
      <w:bookmarkStart w:id="0" w:name="_GoBack"/>
      <w:r>
        <w:rPr>
          <w:color w:val="auto"/>
          <w:highlight w:val="none"/>
          <w:lang w:eastAsia="en-US"/>
        </w:rPr>
        <w:drawing>
          <wp:inline distT="0" distB="0" distL="114300" distR="114300">
            <wp:extent cx="3643630" cy="3084195"/>
            <wp:effectExtent l="0" t="0" r="4445" b="1905"/>
            <wp:docPr id="8" name="Picture 8" descr="Graph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3"/>
                    <pic:cNvPicPr>
                      <a:picLocks noChangeAspect="1"/>
                    </pic:cNvPicPr>
                  </pic:nvPicPr>
                  <pic:blipFill>
                    <a:blip r:embed="rId11"/>
                    <a:srcRect l="5879" t="9079" r="12924" b="1145"/>
                    <a:stretch>
                      <a:fillRect/>
                    </a:stretch>
                  </pic:blipFill>
                  <pic:spPr>
                    <a:xfrm>
                      <a:off x="0" y="0"/>
                      <a:ext cx="3643630" cy="3084195"/>
                    </a:xfrm>
                    <a:prstGeom prst="rect">
                      <a:avLst/>
                    </a:prstGeom>
                  </pic:spPr>
                </pic:pic>
              </a:graphicData>
            </a:graphic>
          </wp:inline>
        </w:drawing>
      </w:r>
      <w:bookmarkEnd w:id="0"/>
    </w:p>
    <w:p>
      <w:pPr>
        <w:spacing w:after="0"/>
        <w:jc w:val="both"/>
        <w:rPr>
          <w:b/>
          <w:bCs/>
          <w:color w:val="auto"/>
          <w:highlight w:val="none"/>
        </w:rPr>
      </w:pPr>
      <w:r>
        <w:rPr>
          <w:b/>
          <w:bCs/>
          <w:color w:val="auto"/>
          <w:highlight w:val="none"/>
        </w:rPr>
        <w:t xml:space="preserve">Fig. S7 </w:t>
      </w:r>
    </w:p>
    <w:p>
      <w:pPr>
        <w:spacing w:after="0"/>
        <w:jc w:val="both"/>
        <w:rPr>
          <w:color w:val="auto"/>
          <w:highlight w:val="none"/>
        </w:rPr>
      </w:pPr>
    </w:p>
    <w:p>
      <w:pPr>
        <w:spacing w:after="0"/>
        <w:jc w:val="both"/>
        <w:outlineLvl w:val="0"/>
        <w:rPr>
          <w:color w:val="auto"/>
          <w:highlight w:val="none"/>
        </w:rPr>
      </w:pPr>
      <w:r>
        <w:rPr>
          <w:color w:val="auto"/>
          <w:highlight w:val="none"/>
        </w:rPr>
        <w:t>Correlation between Ir formal oxidation state and satellite position.</w:t>
      </w:r>
    </w:p>
    <w:p>
      <w:pPr>
        <w:spacing w:after="0"/>
        <w:jc w:val="both"/>
        <w:outlineLvl w:val="0"/>
        <w:rPr>
          <w:color w:val="auto"/>
          <w:highlight w:val="none"/>
        </w:rPr>
      </w:pPr>
    </w:p>
    <w:p>
      <w:pPr>
        <w:jc w:val="both"/>
        <w:rPr>
          <w:bCs/>
          <w:color w:val="auto"/>
          <w:highlight w:val="none"/>
        </w:rPr>
      </w:pPr>
    </w:p>
    <w:p>
      <w:pPr>
        <w:jc w:val="both"/>
        <w:rPr>
          <w:color w:val="auto"/>
          <w:highlight w:val="none"/>
        </w:rPr>
      </w:pPr>
      <w:r>
        <w:rPr>
          <w:b/>
          <w:bCs/>
          <w:color w:val="auto"/>
          <w:highlight w:val="none"/>
        </w:rPr>
        <w:t>Table S2</w:t>
      </w:r>
      <w:r>
        <w:rPr>
          <w:bCs/>
          <w:color w:val="auto"/>
          <w:highlight w:val="none"/>
        </w:rPr>
        <w:t xml:space="preserve">: Parameters used for fitting the </w:t>
      </w:r>
      <w:r>
        <w:rPr>
          <w:bCs/>
          <w:i/>
          <w:iCs/>
          <w:color w:val="auto"/>
          <w:highlight w:val="none"/>
        </w:rPr>
        <w:t>in situ</w:t>
      </w:r>
      <w:r>
        <w:rPr>
          <w:bCs/>
          <w:color w:val="auto"/>
          <w:highlight w:val="none"/>
        </w:rPr>
        <w:t xml:space="preserve"> collected spectra depending on the applied potential.</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5"/>
        <w:gridCol w:w="2342"/>
        <w:gridCol w:w="2039"/>
        <w:gridCol w:w="1846"/>
        <w:gridCol w:w="1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2315" w:type="dxa"/>
            <w:shd w:val="clear" w:color="auto" w:fill="D7D7D7" w:themeFill="background1" w:themeFillShade="D8"/>
          </w:tcPr>
          <w:p>
            <w:pPr>
              <w:jc w:val="center"/>
              <w:rPr>
                <w:rFonts w:eastAsia="Times New Roman"/>
                <w:b/>
                <w:bCs/>
                <w:color w:val="auto"/>
                <w:sz w:val="22"/>
                <w:szCs w:val="22"/>
                <w:highlight w:val="none"/>
                <w:shd w:val="clear" w:color="auto" w:fill="FFFFFF"/>
                <w:lang w:eastAsia="en-US"/>
              </w:rPr>
            </w:pPr>
            <w:r>
              <w:rPr>
                <w:rFonts w:eastAsia="Times New Roman"/>
                <w:b/>
                <w:bCs/>
                <w:color w:val="auto"/>
                <w:sz w:val="22"/>
                <w:szCs w:val="22"/>
                <w:highlight w:val="none"/>
                <w:shd w:val="clear" w:color="auto" w:fill="FFFFFF"/>
                <w:lang w:eastAsia="en-US"/>
              </w:rPr>
              <w:t>Potential</w:t>
            </w:r>
          </w:p>
        </w:tc>
        <w:tc>
          <w:tcPr>
            <w:tcW w:w="2342" w:type="dxa"/>
            <w:shd w:val="clear" w:color="auto" w:fill="D7D7D7" w:themeFill="background1" w:themeFillShade="D8"/>
          </w:tcPr>
          <w:p>
            <w:pPr>
              <w:jc w:val="center"/>
              <w:rPr>
                <w:rFonts w:eastAsia="Times New Roman"/>
                <w:b/>
                <w:bCs/>
                <w:color w:val="auto"/>
                <w:sz w:val="22"/>
                <w:szCs w:val="22"/>
                <w:highlight w:val="none"/>
                <w:shd w:val="clear" w:color="auto" w:fill="FFFFFF"/>
                <w:lang w:eastAsia="en-US"/>
              </w:rPr>
            </w:pPr>
            <w:r>
              <w:rPr>
                <w:rFonts w:eastAsia="Times New Roman"/>
                <w:b/>
                <w:bCs/>
                <w:color w:val="auto"/>
                <w:sz w:val="22"/>
                <w:szCs w:val="22"/>
                <w:highlight w:val="none"/>
                <w:shd w:val="clear" w:color="auto" w:fill="FFFFFF"/>
                <w:lang w:eastAsia="en-US"/>
              </w:rPr>
              <w:t>Peak</w:t>
            </w:r>
          </w:p>
        </w:tc>
        <w:tc>
          <w:tcPr>
            <w:tcW w:w="2039" w:type="dxa"/>
            <w:shd w:val="clear" w:color="auto" w:fill="D7D7D7" w:themeFill="background1" w:themeFillShade="D8"/>
          </w:tcPr>
          <w:p>
            <w:pPr>
              <w:jc w:val="center"/>
              <w:rPr>
                <w:rFonts w:eastAsia="Times New Roman"/>
                <w:b/>
                <w:bCs/>
                <w:color w:val="auto"/>
                <w:sz w:val="22"/>
                <w:szCs w:val="22"/>
                <w:highlight w:val="none"/>
                <w:shd w:val="clear" w:color="auto" w:fill="FFFFFF"/>
                <w:lang w:eastAsia="en-US"/>
              </w:rPr>
            </w:pPr>
            <w:r>
              <w:rPr>
                <w:rFonts w:eastAsia="Times New Roman"/>
                <w:b/>
                <w:bCs/>
                <w:color w:val="auto"/>
                <w:sz w:val="22"/>
                <w:szCs w:val="22"/>
                <w:highlight w:val="none"/>
                <w:shd w:val="clear" w:color="auto" w:fill="FFFFFF"/>
                <w:lang w:eastAsia="en-US"/>
              </w:rPr>
              <w:t>Peak possition</w:t>
            </w:r>
          </w:p>
        </w:tc>
        <w:tc>
          <w:tcPr>
            <w:tcW w:w="1846" w:type="dxa"/>
            <w:shd w:val="clear" w:color="auto" w:fill="D7D7D7" w:themeFill="background1" w:themeFillShade="D8"/>
          </w:tcPr>
          <w:p>
            <w:pPr>
              <w:jc w:val="center"/>
              <w:rPr>
                <w:rFonts w:eastAsia="Times New Roman"/>
                <w:b/>
                <w:bCs/>
                <w:color w:val="auto"/>
                <w:sz w:val="22"/>
                <w:szCs w:val="22"/>
                <w:highlight w:val="none"/>
                <w:shd w:val="clear" w:color="auto" w:fill="FFFFFF"/>
                <w:lang w:eastAsia="en-US"/>
              </w:rPr>
            </w:pPr>
            <w:r>
              <w:rPr>
                <w:rFonts w:eastAsia="Times New Roman"/>
                <w:b/>
                <w:bCs/>
                <w:color w:val="auto"/>
                <w:sz w:val="22"/>
                <w:szCs w:val="22"/>
                <w:highlight w:val="none"/>
                <w:shd w:val="clear" w:color="auto" w:fill="FFFFFF"/>
                <w:lang w:eastAsia="en-US"/>
              </w:rPr>
              <w:t>Peak Shape</w:t>
            </w:r>
          </w:p>
        </w:tc>
        <w:tc>
          <w:tcPr>
            <w:tcW w:w="1033" w:type="dxa"/>
            <w:shd w:val="clear" w:color="auto" w:fill="D7D7D7" w:themeFill="background1" w:themeFillShade="D8"/>
          </w:tcPr>
          <w:p>
            <w:pPr>
              <w:jc w:val="center"/>
              <w:rPr>
                <w:rFonts w:eastAsia="Times New Roman"/>
                <w:b/>
                <w:bCs/>
                <w:color w:val="auto"/>
                <w:sz w:val="22"/>
                <w:szCs w:val="22"/>
                <w:highlight w:val="none"/>
                <w:shd w:val="clear" w:color="auto" w:fill="FFFFFF"/>
                <w:lang w:eastAsia="en-US"/>
              </w:rPr>
            </w:pPr>
            <w:r>
              <w:rPr>
                <w:rFonts w:eastAsia="Times New Roman"/>
                <w:b/>
                <w:bCs/>
                <w:color w:val="auto"/>
                <w:sz w:val="22"/>
                <w:szCs w:val="22"/>
                <w:highlight w:val="none"/>
                <w:shd w:val="clear" w:color="auto" w:fill="FFFFFF"/>
                <w:lang w:eastAsia="en-US"/>
              </w:rPr>
              <w:t>fwhm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5" w:type="dxa"/>
            <w:vMerge w:val="restart"/>
            <w:shd w:val="clear" w:color="auto" w:fill="D7D7D7" w:themeFill="background1" w:themeFillShade="D8"/>
          </w:tcPr>
          <w:p>
            <w:pPr>
              <w:jc w:val="center"/>
              <w:rPr>
                <w:rFonts w:eastAsia="Times New Roman"/>
                <w:b/>
                <w:bCs/>
                <w:color w:val="auto"/>
                <w:sz w:val="22"/>
                <w:szCs w:val="22"/>
                <w:highlight w:val="none"/>
                <w:shd w:val="clear" w:color="auto" w:fill="FFFFFF"/>
                <w:lang w:eastAsia="en-US"/>
              </w:rPr>
            </w:pPr>
            <w:r>
              <w:rPr>
                <w:rFonts w:eastAsia="Times New Roman"/>
                <w:b/>
                <w:bCs/>
                <w:color w:val="auto"/>
                <w:sz w:val="22"/>
                <w:szCs w:val="22"/>
                <w:highlight w:val="none"/>
                <w:shd w:val="clear" w:color="auto" w:fill="FFFFFF"/>
                <w:lang w:eastAsia="en-US"/>
              </w:rPr>
              <w:t>+1.6 V vs. Ag/AgCl</w:t>
            </w:r>
          </w:p>
        </w:tc>
        <w:tc>
          <w:tcPr>
            <w:tcW w:w="2342"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µ1-OH(111)/µ1-O(110)</w:t>
            </w:r>
          </w:p>
        </w:tc>
        <w:tc>
          <w:tcPr>
            <w:tcW w:w="2039"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62.5 eV</w:t>
            </w:r>
          </w:p>
        </w:tc>
        <w:tc>
          <w:tcPr>
            <w:tcW w:w="1846"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DS(0.1;400)</w:t>
            </w:r>
          </w:p>
        </w:tc>
        <w:tc>
          <w:tcPr>
            <w:tcW w:w="1033"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5" w:type="dxa"/>
            <w:vMerge w:val="continue"/>
            <w:shd w:val="clear" w:color="auto" w:fill="D7D7D7" w:themeFill="background1" w:themeFillShade="D8"/>
          </w:tcPr>
          <w:p>
            <w:pPr>
              <w:jc w:val="center"/>
              <w:rPr>
                <w:rFonts w:eastAsia="Times New Roman"/>
                <w:b/>
                <w:bCs/>
                <w:color w:val="auto"/>
                <w:sz w:val="22"/>
                <w:szCs w:val="22"/>
                <w:highlight w:val="none"/>
                <w:shd w:val="clear" w:color="auto" w:fill="FFFFFF"/>
                <w:lang w:eastAsia="en-US"/>
              </w:rPr>
            </w:pPr>
          </w:p>
        </w:tc>
        <w:tc>
          <w:tcPr>
            <w:tcW w:w="2342"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Sat</w:t>
            </w:r>
            <w:r>
              <w:rPr>
                <w:rFonts w:eastAsia="Times New Roman"/>
                <w:color w:val="auto"/>
                <w:sz w:val="22"/>
                <w:szCs w:val="22"/>
                <w:highlight w:val="none"/>
                <w:shd w:val="clear" w:color="auto" w:fill="FFFFFF"/>
                <w:vertAlign w:val="subscript"/>
                <w:lang w:eastAsia="en-US"/>
              </w:rPr>
              <w:t>µ1-OH(111)/µ1-O(110)</w:t>
            </w:r>
            <w:r>
              <w:rPr>
                <w:rFonts w:eastAsia="Times New Roman"/>
                <w:color w:val="auto"/>
                <w:sz w:val="22"/>
                <w:szCs w:val="22"/>
                <w:highlight w:val="none"/>
                <w:shd w:val="clear" w:color="auto" w:fill="FFFFFF"/>
                <w:lang w:eastAsia="en-US"/>
              </w:rPr>
              <w:t xml:space="preserve"> 1</w:t>
            </w:r>
          </w:p>
        </w:tc>
        <w:tc>
          <w:tcPr>
            <w:tcW w:w="2039"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63.3 eV</w:t>
            </w:r>
          </w:p>
        </w:tc>
        <w:tc>
          <w:tcPr>
            <w:tcW w:w="1846"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GL(30)</w:t>
            </w:r>
          </w:p>
        </w:tc>
        <w:tc>
          <w:tcPr>
            <w:tcW w:w="1033"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5" w:type="dxa"/>
            <w:vMerge w:val="continue"/>
            <w:shd w:val="clear" w:color="auto" w:fill="D7D7D7" w:themeFill="background1" w:themeFillShade="D8"/>
          </w:tcPr>
          <w:p>
            <w:pPr>
              <w:jc w:val="center"/>
              <w:rPr>
                <w:rFonts w:eastAsia="Times New Roman"/>
                <w:b/>
                <w:bCs/>
                <w:color w:val="auto"/>
                <w:sz w:val="22"/>
                <w:szCs w:val="22"/>
                <w:highlight w:val="none"/>
                <w:shd w:val="clear" w:color="auto" w:fill="FFFFFF"/>
                <w:lang w:eastAsia="en-US"/>
              </w:rPr>
            </w:pPr>
          </w:p>
        </w:tc>
        <w:tc>
          <w:tcPr>
            <w:tcW w:w="2342"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Sat</w:t>
            </w:r>
            <w:r>
              <w:rPr>
                <w:rFonts w:eastAsia="Times New Roman"/>
                <w:color w:val="auto"/>
                <w:sz w:val="22"/>
                <w:szCs w:val="22"/>
                <w:highlight w:val="none"/>
                <w:shd w:val="clear" w:color="auto" w:fill="FFFFFF"/>
                <w:vertAlign w:val="subscript"/>
                <w:lang w:eastAsia="en-US"/>
              </w:rPr>
              <w:t>µ1-OH(111)/µ1-O(110)</w:t>
            </w:r>
            <w:r>
              <w:rPr>
                <w:rFonts w:eastAsia="Times New Roman"/>
                <w:color w:val="auto"/>
                <w:sz w:val="22"/>
                <w:szCs w:val="22"/>
                <w:highlight w:val="none"/>
                <w:shd w:val="clear" w:color="auto" w:fill="FFFFFF"/>
                <w:lang w:eastAsia="en-US"/>
              </w:rPr>
              <w:t xml:space="preserve"> 2</w:t>
            </w:r>
          </w:p>
        </w:tc>
        <w:tc>
          <w:tcPr>
            <w:tcW w:w="2039"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64.1 eV</w:t>
            </w:r>
          </w:p>
        </w:tc>
        <w:tc>
          <w:tcPr>
            <w:tcW w:w="1846"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GL(30)</w:t>
            </w:r>
          </w:p>
        </w:tc>
        <w:tc>
          <w:tcPr>
            <w:tcW w:w="1033"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2315" w:type="dxa"/>
            <w:vMerge w:val="restart"/>
            <w:shd w:val="clear" w:color="auto" w:fill="D7D7D7" w:themeFill="background1" w:themeFillShade="D8"/>
          </w:tcPr>
          <w:p>
            <w:pPr>
              <w:jc w:val="center"/>
              <w:rPr>
                <w:rFonts w:eastAsia="Times New Roman"/>
                <w:b/>
                <w:bCs/>
                <w:color w:val="auto"/>
                <w:sz w:val="22"/>
                <w:szCs w:val="22"/>
                <w:highlight w:val="none"/>
                <w:shd w:val="clear" w:color="auto" w:fill="FFFFFF"/>
                <w:lang w:eastAsia="en-US"/>
              </w:rPr>
            </w:pPr>
            <w:r>
              <w:rPr>
                <w:rFonts w:eastAsia="Times New Roman"/>
                <w:b/>
                <w:bCs/>
                <w:color w:val="auto"/>
                <w:sz w:val="22"/>
                <w:szCs w:val="22"/>
                <w:highlight w:val="none"/>
                <w:shd w:val="clear" w:color="auto" w:fill="FFFFFF"/>
                <w:lang w:eastAsia="en-US"/>
              </w:rPr>
              <w:t>+1.0 V vs. Ag/AgCl</w:t>
            </w:r>
          </w:p>
        </w:tc>
        <w:tc>
          <w:tcPr>
            <w:tcW w:w="2342"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µ1-OH(111)/µ1-O(110)</w:t>
            </w:r>
          </w:p>
        </w:tc>
        <w:tc>
          <w:tcPr>
            <w:tcW w:w="2039"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62.5 eV</w:t>
            </w:r>
          </w:p>
        </w:tc>
        <w:tc>
          <w:tcPr>
            <w:tcW w:w="1846"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DS(0.1;400)</w:t>
            </w:r>
          </w:p>
        </w:tc>
        <w:tc>
          <w:tcPr>
            <w:tcW w:w="1033"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5" w:type="dxa"/>
            <w:vMerge w:val="continue"/>
            <w:shd w:val="clear" w:color="auto" w:fill="D7D7D7" w:themeFill="background1" w:themeFillShade="D8"/>
          </w:tcPr>
          <w:p>
            <w:pPr>
              <w:jc w:val="center"/>
              <w:rPr>
                <w:rFonts w:eastAsia="Times New Roman"/>
                <w:b/>
                <w:bCs/>
                <w:color w:val="auto"/>
                <w:sz w:val="22"/>
                <w:szCs w:val="22"/>
                <w:highlight w:val="none"/>
                <w:shd w:val="clear" w:color="auto" w:fill="FFFFFF"/>
                <w:lang w:eastAsia="en-US"/>
              </w:rPr>
            </w:pPr>
          </w:p>
        </w:tc>
        <w:tc>
          <w:tcPr>
            <w:tcW w:w="2342"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Sat</w:t>
            </w:r>
            <w:r>
              <w:rPr>
                <w:rFonts w:eastAsia="Times New Roman"/>
                <w:color w:val="auto"/>
                <w:sz w:val="22"/>
                <w:szCs w:val="22"/>
                <w:highlight w:val="none"/>
                <w:shd w:val="clear" w:color="auto" w:fill="FFFFFF"/>
                <w:vertAlign w:val="subscript"/>
                <w:lang w:eastAsia="en-US"/>
              </w:rPr>
              <w:t>µ1-OH(111)/µ1-O(110)</w:t>
            </w:r>
            <w:r>
              <w:rPr>
                <w:rFonts w:eastAsia="Times New Roman"/>
                <w:color w:val="auto"/>
                <w:sz w:val="22"/>
                <w:szCs w:val="22"/>
                <w:highlight w:val="none"/>
                <w:shd w:val="clear" w:color="auto" w:fill="FFFFFF"/>
                <w:lang w:eastAsia="en-US"/>
              </w:rPr>
              <w:t xml:space="preserve"> 1</w:t>
            </w:r>
          </w:p>
        </w:tc>
        <w:tc>
          <w:tcPr>
            <w:tcW w:w="2039"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63.3 eV</w:t>
            </w:r>
          </w:p>
        </w:tc>
        <w:tc>
          <w:tcPr>
            <w:tcW w:w="1846"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GL(30)</w:t>
            </w:r>
          </w:p>
        </w:tc>
        <w:tc>
          <w:tcPr>
            <w:tcW w:w="1033"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5" w:type="dxa"/>
            <w:vMerge w:val="continue"/>
            <w:tcBorders>
              <w:bottom w:val="nil"/>
            </w:tcBorders>
            <w:shd w:val="clear" w:color="auto" w:fill="D7D7D7" w:themeFill="background1" w:themeFillShade="D8"/>
          </w:tcPr>
          <w:p>
            <w:pPr>
              <w:jc w:val="center"/>
              <w:rPr>
                <w:rFonts w:eastAsia="Times New Roman"/>
                <w:b/>
                <w:bCs/>
                <w:color w:val="auto"/>
                <w:sz w:val="22"/>
                <w:szCs w:val="22"/>
                <w:highlight w:val="none"/>
                <w:shd w:val="clear" w:color="auto" w:fill="FFFFFF"/>
                <w:lang w:eastAsia="en-US"/>
              </w:rPr>
            </w:pPr>
          </w:p>
        </w:tc>
        <w:tc>
          <w:tcPr>
            <w:tcW w:w="2342"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Sat</w:t>
            </w:r>
            <w:r>
              <w:rPr>
                <w:rFonts w:eastAsia="Times New Roman"/>
                <w:color w:val="auto"/>
                <w:sz w:val="22"/>
                <w:szCs w:val="22"/>
                <w:highlight w:val="none"/>
                <w:shd w:val="clear" w:color="auto" w:fill="FFFFFF"/>
                <w:vertAlign w:val="subscript"/>
                <w:lang w:eastAsia="en-US"/>
              </w:rPr>
              <w:t>µ1-OH(111)/µ1-O(110)</w:t>
            </w:r>
            <w:r>
              <w:rPr>
                <w:rFonts w:eastAsia="Times New Roman"/>
                <w:color w:val="auto"/>
                <w:sz w:val="22"/>
                <w:szCs w:val="22"/>
                <w:highlight w:val="none"/>
                <w:shd w:val="clear" w:color="auto" w:fill="FFFFFF"/>
                <w:lang w:eastAsia="en-US"/>
              </w:rPr>
              <w:t xml:space="preserve"> 2</w:t>
            </w:r>
          </w:p>
        </w:tc>
        <w:tc>
          <w:tcPr>
            <w:tcW w:w="2039"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64.1 eV</w:t>
            </w:r>
          </w:p>
        </w:tc>
        <w:tc>
          <w:tcPr>
            <w:tcW w:w="1846"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GL(30)</w:t>
            </w:r>
          </w:p>
        </w:tc>
        <w:tc>
          <w:tcPr>
            <w:tcW w:w="1033"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5" w:type="dxa"/>
            <w:vMerge w:val="restart"/>
            <w:tcBorders>
              <w:top w:val="nil"/>
            </w:tcBorders>
            <w:shd w:val="clear" w:color="auto" w:fill="D7D7D7" w:themeFill="background1" w:themeFillShade="D8"/>
          </w:tcPr>
          <w:p>
            <w:pPr>
              <w:jc w:val="center"/>
              <w:rPr>
                <w:rFonts w:eastAsia="Times New Roman"/>
                <w:b/>
                <w:bCs/>
                <w:color w:val="auto"/>
                <w:sz w:val="22"/>
                <w:szCs w:val="22"/>
                <w:highlight w:val="none"/>
                <w:shd w:val="clear" w:color="auto" w:fill="FFFFFF"/>
                <w:lang w:eastAsia="en-US"/>
              </w:rPr>
            </w:pPr>
          </w:p>
        </w:tc>
        <w:tc>
          <w:tcPr>
            <w:tcW w:w="2342"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µ1-OH(110)/</w:t>
            </w:r>
          </w:p>
        </w:tc>
        <w:tc>
          <w:tcPr>
            <w:tcW w:w="2039"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61.8 eV</w:t>
            </w:r>
          </w:p>
        </w:tc>
        <w:tc>
          <w:tcPr>
            <w:tcW w:w="1846"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DS(0.1;400)</w:t>
            </w:r>
          </w:p>
        </w:tc>
        <w:tc>
          <w:tcPr>
            <w:tcW w:w="1033"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5" w:type="dxa"/>
            <w:vMerge w:val="continue"/>
            <w:shd w:val="clear" w:color="auto" w:fill="D7D7D7" w:themeFill="background1" w:themeFillShade="D8"/>
          </w:tcPr>
          <w:p>
            <w:pPr>
              <w:jc w:val="center"/>
              <w:rPr>
                <w:rFonts w:eastAsia="Times New Roman"/>
                <w:b/>
                <w:bCs/>
                <w:color w:val="auto"/>
                <w:sz w:val="22"/>
                <w:szCs w:val="22"/>
                <w:highlight w:val="none"/>
                <w:shd w:val="clear" w:color="auto" w:fill="FFFFFF"/>
                <w:lang w:eastAsia="en-US"/>
              </w:rPr>
            </w:pPr>
          </w:p>
        </w:tc>
        <w:tc>
          <w:tcPr>
            <w:tcW w:w="2342"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Sat</w:t>
            </w:r>
            <w:r>
              <w:rPr>
                <w:rFonts w:eastAsia="Times New Roman"/>
                <w:color w:val="auto"/>
                <w:sz w:val="22"/>
                <w:szCs w:val="22"/>
                <w:highlight w:val="none"/>
                <w:shd w:val="clear" w:color="auto" w:fill="FFFFFF"/>
                <w:vertAlign w:val="subscript"/>
                <w:lang w:eastAsia="en-US"/>
              </w:rPr>
              <w:t>µ1-OH(110)</w:t>
            </w:r>
            <w:r>
              <w:rPr>
                <w:rFonts w:eastAsia="Times New Roman"/>
                <w:color w:val="auto"/>
                <w:sz w:val="22"/>
                <w:szCs w:val="22"/>
                <w:highlight w:val="none"/>
                <w:shd w:val="clear" w:color="auto" w:fill="FFFFFF"/>
                <w:lang w:eastAsia="en-US"/>
              </w:rPr>
              <w:t xml:space="preserve"> 1</w:t>
            </w:r>
          </w:p>
        </w:tc>
        <w:tc>
          <w:tcPr>
            <w:tcW w:w="2039"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62.6 eV</w:t>
            </w:r>
          </w:p>
        </w:tc>
        <w:tc>
          <w:tcPr>
            <w:tcW w:w="1846"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GL(30)</w:t>
            </w:r>
          </w:p>
        </w:tc>
        <w:tc>
          <w:tcPr>
            <w:tcW w:w="1033"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5" w:type="dxa"/>
            <w:vMerge w:val="continue"/>
            <w:shd w:val="clear" w:color="auto" w:fill="D7D7D7" w:themeFill="background1" w:themeFillShade="D8"/>
          </w:tcPr>
          <w:p>
            <w:pPr>
              <w:jc w:val="center"/>
              <w:rPr>
                <w:rFonts w:eastAsia="Times New Roman"/>
                <w:b/>
                <w:bCs/>
                <w:color w:val="auto"/>
                <w:sz w:val="22"/>
                <w:szCs w:val="22"/>
                <w:highlight w:val="none"/>
                <w:shd w:val="clear" w:color="auto" w:fill="FFFFFF"/>
                <w:lang w:eastAsia="en-US"/>
              </w:rPr>
            </w:pPr>
          </w:p>
        </w:tc>
        <w:tc>
          <w:tcPr>
            <w:tcW w:w="2342"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Sat</w:t>
            </w:r>
            <w:r>
              <w:rPr>
                <w:rFonts w:eastAsia="Times New Roman"/>
                <w:color w:val="auto"/>
                <w:sz w:val="22"/>
                <w:szCs w:val="22"/>
                <w:highlight w:val="none"/>
                <w:shd w:val="clear" w:color="auto" w:fill="FFFFFF"/>
                <w:vertAlign w:val="subscript"/>
                <w:lang w:eastAsia="en-US"/>
              </w:rPr>
              <w:t>µ1-OH(110)</w:t>
            </w:r>
            <w:r>
              <w:rPr>
                <w:rFonts w:eastAsia="Times New Roman"/>
                <w:color w:val="auto"/>
                <w:sz w:val="22"/>
                <w:szCs w:val="22"/>
                <w:highlight w:val="none"/>
                <w:shd w:val="clear" w:color="auto" w:fill="FFFFFF"/>
                <w:lang w:eastAsia="en-US"/>
              </w:rPr>
              <w:t xml:space="preserve"> 2</w:t>
            </w:r>
          </w:p>
        </w:tc>
        <w:tc>
          <w:tcPr>
            <w:tcW w:w="2039"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63.4 eV</w:t>
            </w:r>
          </w:p>
        </w:tc>
        <w:tc>
          <w:tcPr>
            <w:tcW w:w="1846"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GL(30)</w:t>
            </w:r>
          </w:p>
        </w:tc>
        <w:tc>
          <w:tcPr>
            <w:tcW w:w="1033"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5" w:type="dxa"/>
            <w:shd w:val="clear" w:color="auto" w:fill="D7D7D7" w:themeFill="background1" w:themeFillShade="D8"/>
          </w:tcPr>
          <w:p>
            <w:pPr>
              <w:jc w:val="center"/>
              <w:rPr>
                <w:rFonts w:eastAsia="Times New Roman"/>
                <w:b/>
                <w:bCs/>
                <w:color w:val="auto"/>
                <w:sz w:val="22"/>
                <w:szCs w:val="22"/>
                <w:highlight w:val="none"/>
                <w:shd w:val="clear" w:color="auto" w:fill="FFFFFF"/>
                <w:lang w:eastAsia="en-US"/>
              </w:rPr>
            </w:pPr>
            <w:r>
              <w:rPr>
                <w:rFonts w:eastAsia="Times New Roman"/>
                <w:b/>
                <w:bCs/>
                <w:color w:val="auto"/>
                <w:sz w:val="22"/>
                <w:szCs w:val="22"/>
                <w:highlight w:val="none"/>
                <w:shd w:val="clear" w:color="auto" w:fill="FFFFFF"/>
                <w:lang w:eastAsia="en-US"/>
              </w:rPr>
              <w:t>+0.7 V vs. Ag/AgCl</w:t>
            </w:r>
          </w:p>
        </w:tc>
        <w:tc>
          <w:tcPr>
            <w:tcW w:w="2342"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Ir</w:t>
            </w:r>
            <w:r>
              <w:rPr>
                <w:rFonts w:eastAsia="Times New Roman"/>
                <w:color w:val="auto"/>
                <w:sz w:val="22"/>
                <w:szCs w:val="22"/>
                <w:highlight w:val="none"/>
                <w:shd w:val="clear" w:color="auto" w:fill="FFFFFF"/>
                <w:vertAlign w:val="superscript"/>
                <w:lang w:eastAsia="en-US"/>
              </w:rPr>
              <w:t>III</w:t>
            </w:r>
          </w:p>
        </w:tc>
        <w:tc>
          <w:tcPr>
            <w:tcW w:w="2039"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62.3 eV</w:t>
            </w:r>
          </w:p>
        </w:tc>
        <w:tc>
          <w:tcPr>
            <w:tcW w:w="1846"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GL(30)</w:t>
            </w:r>
          </w:p>
        </w:tc>
        <w:tc>
          <w:tcPr>
            <w:tcW w:w="1033"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5" w:type="dxa"/>
            <w:shd w:val="clear" w:color="auto" w:fill="D7D7D7" w:themeFill="background1" w:themeFillShade="D8"/>
          </w:tcPr>
          <w:p>
            <w:pPr>
              <w:jc w:val="center"/>
              <w:rPr>
                <w:rFonts w:eastAsia="Times New Roman"/>
                <w:b/>
                <w:bCs/>
                <w:color w:val="auto"/>
                <w:sz w:val="22"/>
                <w:szCs w:val="22"/>
                <w:highlight w:val="none"/>
                <w:shd w:val="clear" w:color="auto" w:fill="FFFFFF"/>
                <w:lang w:eastAsia="en-US"/>
              </w:rPr>
            </w:pPr>
            <w:r>
              <w:rPr>
                <w:rFonts w:eastAsia="Times New Roman"/>
                <w:b/>
                <w:bCs/>
                <w:color w:val="auto"/>
                <w:sz w:val="22"/>
                <w:szCs w:val="22"/>
                <w:highlight w:val="none"/>
                <w:shd w:val="clear" w:color="auto" w:fill="FFFFFF"/>
                <w:lang w:eastAsia="en-US"/>
              </w:rPr>
              <w:t>OCV</w:t>
            </w:r>
          </w:p>
        </w:tc>
        <w:tc>
          <w:tcPr>
            <w:tcW w:w="2342"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Ir</w:t>
            </w:r>
            <w:r>
              <w:rPr>
                <w:rFonts w:eastAsia="Times New Roman"/>
                <w:color w:val="auto"/>
                <w:sz w:val="22"/>
                <w:szCs w:val="22"/>
                <w:highlight w:val="none"/>
                <w:shd w:val="clear" w:color="auto" w:fill="FFFFFF"/>
                <w:vertAlign w:val="superscript"/>
                <w:lang w:eastAsia="en-US"/>
              </w:rPr>
              <w:t>III</w:t>
            </w:r>
          </w:p>
        </w:tc>
        <w:tc>
          <w:tcPr>
            <w:tcW w:w="2039"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62.3 eV</w:t>
            </w:r>
          </w:p>
        </w:tc>
        <w:tc>
          <w:tcPr>
            <w:tcW w:w="1846"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GL(30)</w:t>
            </w:r>
          </w:p>
        </w:tc>
        <w:tc>
          <w:tcPr>
            <w:tcW w:w="1033"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5" w:type="dxa"/>
            <w:shd w:val="clear" w:color="auto" w:fill="D7D7D7" w:themeFill="background1" w:themeFillShade="D8"/>
          </w:tcPr>
          <w:p>
            <w:pPr>
              <w:jc w:val="center"/>
              <w:rPr>
                <w:rFonts w:eastAsia="Times New Roman"/>
                <w:b/>
                <w:bCs/>
                <w:color w:val="auto"/>
                <w:sz w:val="22"/>
                <w:szCs w:val="22"/>
                <w:highlight w:val="none"/>
                <w:shd w:val="clear" w:color="auto" w:fill="FFFFFF"/>
                <w:lang w:eastAsia="en-US"/>
              </w:rPr>
            </w:pPr>
            <w:r>
              <w:rPr>
                <w:rFonts w:eastAsia="Times New Roman"/>
                <w:b/>
                <w:bCs/>
                <w:color w:val="auto"/>
                <w:sz w:val="22"/>
                <w:szCs w:val="22"/>
                <w:highlight w:val="none"/>
                <w:shd w:val="clear" w:color="auto" w:fill="FFFFFF"/>
                <w:lang w:eastAsia="en-US"/>
              </w:rPr>
              <w:t>HV (reference)</w:t>
            </w:r>
          </w:p>
        </w:tc>
        <w:tc>
          <w:tcPr>
            <w:tcW w:w="2342"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Ir</w:t>
            </w:r>
            <w:r>
              <w:rPr>
                <w:rFonts w:eastAsia="Times New Roman"/>
                <w:color w:val="auto"/>
                <w:sz w:val="22"/>
                <w:szCs w:val="22"/>
                <w:highlight w:val="none"/>
                <w:shd w:val="clear" w:color="auto" w:fill="FFFFFF"/>
                <w:vertAlign w:val="superscript"/>
                <w:lang w:eastAsia="en-US"/>
              </w:rPr>
              <w:t>0</w:t>
            </w:r>
          </w:p>
        </w:tc>
        <w:tc>
          <w:tcPr>
            <w:tcW w:w="2039"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61.2 eV</w:t>
            </w:r>
          </w:p>
        </w:tc>
        <w:tc>
          <w:tcPr>
            <w:tcW w:w="1846"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DS(0.1;400)</w:t>
            </w:r>
          </w:p>
        </w:tc>
        <w:tc>
          <w:tcPr>
            <w:tcW w:w="1033" w:type="dxa"/>
          </w:tcPr>
          <w:p>
            <w:pPr>
              <w:jc w:val="center"/>
              <w:rPr>
                <w:rFonts w:eastAsia="Times New Roman"/>
                <w:color w:val="auto"/>
                <w:sz w:val="22"/>
                <w:szCs w:val="22"/>
                <w:highlight w:val="none"/>
                <w:shd w:val="clear" w:color="auto" w:fill="FFFFFF"/>
                <w:lang w:eastAsia="en-US"/>
              </w:rPr>
            </w:pPr>
            <w:r>
              <w:rPr>
                <w:rFonts w:eastAsia="Times New Roman"/>
                <w:color w:val="auto"/>
                <w:sz w:val="22"/>
                <w:szCs w:val="22"/>
                <w:highlight w:val="none"/>
                <w:shd w:val="clear" w:color="auto" w:fill="FFFFFF"/>
                <w:lang w:eastAsia="en-US"/>
              </w:rPr>
              <w:t>1.1</w:t>
            </w:r>
          </w:p>
        </w:tc>
      </w:tr>
    </w:tbl>
    <w:p>
      <w:pPr>
        <w:spacing w:after="0"/>
        <w:jc w:val="both"/>
        <w:outlineLvl w:val="0"/>
        <w:rPr>
          <w:color w:val="auto"/>
          <w:highlight w:val="none"/>
        </w:rPr>
      </w:pPr>
    </w:p>
    <w:p>
      <w:pPr>
        <w:spacing w:after="0" w:line="240" w:lineRule="auto"/>
        <w:rPr>
          <w:rFonts w:eastAsia="Times New Roman"/>
          <w:color w:val="auto"/>
          <w:highlight w:val="none"/>
          <w:lang w:eastAsia="de-DE"/>
        </w:rPr>
      </w:pPr>
    </w:p>
    <w:sectPr>
      <w:footerReference r:id="rId3" w:type="default"/>
      <w:pgSz w:w="12240" w:h="15840"/>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Tahoma">
    <w:panose1 w:val="020B0604030504040204"/>
    <w:charset w:val="00"/>
    <w:family w:val="auto"/>
    <w:pitch w:val="default"/>
    <w:sig w:usb0="E1002EFF" w:usb1="C000605B" w:usb2="00000029" w:usb3="00000000" w:csb0="200101FF" w:csb1="20280000"/>
  </w:font>
  <w:font w:name="Courier">
    <w:altName w:val="Courier New"/>
    <w:panose1 w:val="02000500000000000000"/>
    <w:charset w:val="00"/>
    <w:family w:val="auto"/>
    <w:pitch w:val="default"/>
    <w:sig w:usb0="00000000" w:usb1="00000000" w:usb2="00000000" w:usb3="00000000" w:csb0="00000001" w:csb1="00000000"/>
  </w:font>
  <w:font w:name="PMingLiU">
    <w:altName w:val="MingLiU-ExtB"/>
    <w:panose1 w:val="00000000000000000000"/>
    <w:charset w:val="88"/>
    <w:family w:val="roman"/>
    <w:pitch w:val="default"/>
    <w:sig w:usb0="00000000" w:usb1="00000000" w:usb2="00000016" w:usb3="00000000" w:csb0="00100001" w:csb1="00000000"/>
  </w:font>
  <w:font w:name="Cambria Math">
    <w:panose1 w:val="02040503050406030204"/>
    <w:charset w:val="00"/>
    <w:family w:val="auto"/>
    <w:pitch w:val="default"/>
    <w:sig w:usb0="E00006FF" w:usb1="420024FF" w:usb2="02000000" w:usb3="00000000" w:csb0="2000019F" w:csb1="00000000"/>
  </w:font>
  <w:font w:name="t1-mini-regular">
    <w:altName w:val="Segoe Print"/>
    <w:panose1 w:val="00000000000000000000"/>
    <w:charset w:val="00"/>
    <w:family w:val="auto"/>
    <w:pitch w:val="default"/>
    <w:sig w:usb0="00000000" w:usb1="00000000" w:usb2="00000000" w:usb3="00000000" w:csb0="00000001" w:csb1="00000000"/>
  </w:font>
  <w:font w:name="Microsoft YaHe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7528934"/>
    </w:sdtPr>
    <w:sdtContent>
      <w:sdt>
        <w:sdtPr>
          <w:id w:val="-1669238322"/>
        </w:sdtPr>
        <w:sdtContent>
          <w:p>
            <w:pPr>
              <w:pStyle w:val="8"/>
              <w:jc w:val="center"/>
            </w:pPr>
            <w:r>
              <w:t xml:space="preserve">Page </w:t>
            </w:r>
            <w:r>
              <w:rPr>
                <w:b/>
                <w:bCs/>
              </w:rPr>
              <w:fldChar w:fldCharType="begin"/>
            </w:r>
            <w:r>
              <w:rPr>
                <w:b/>
                <w:bCs/>
              </w:rPr>
              <w:instrText xml:space="preserve"> PAGE </w:instrText>
            </w:r>
            <w:r>
              <w:rPr>
                <w:b/>
                <w:bCs/>
              </w:rPr>
              <w:fldChar w:fldCharType="separate"/>
            </w:r>
            <w:r>
              <w:rPr>
                <w:b/>
                <w:bCs/>
              </w:rPr>
              <w:t>23</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rPr>
              <w:t>25</w:t>
            </w:r>
            <w:r>
              <w:rPr>
                <w:b/>
                <w:bCs/>
              </w:rPr>
              <w:fldChar w:fldCharType="end"/>
            </w:r>
          </w:p>
        </w:sdtContent>
      </w:sdt>
    </w:sdtContent>
  </w:sdt>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bordersDoNotSurroundHeader w:val="0"/>
  <w:bordersDoNotSurroundFooter w:val="0"/>
  <w:trackRevisions w:val="1"/>
  <w:documentProtection w:enforcement="0"/>
  <w:defaultTabStop w:val="720"/>
  <w:hyphenationZone w:val="425"/>
  <w:drawingGridHorizontalSpacing w:val="0"/>
  <w:displayHorizontalDrawingGridEvery w:val="1"/>
  <w:displayVerticalDrawingGridEvery w:val="1"/>
  <w:noPunctuationKerning w:val="1"/>
  <w:characterSpacingControl w:val="doNotCompress"/>
  <w:compat>
    <w:spaceForUL/>
    <w:doNotLeaveBackslashAlone/>
    <w:ulTrailSpace/>
    <w:doNotExpandShiftReturn/>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6F60"/>
    <w:rsid w:val="000001D5"/>
    <w:rsid w:val="00001CF7"/>
    <w:rsid w:val="0000538A"/>
    <w:rsid w:val="00005FAC"/>
    <w:rsid w:val="00006CBA"/>
    <w:rsid w:val="0000759E"/>
    <w:rsid w:val="0000797D"/>
    <w:rsid w:val="00012B99"/>
    <w:rsid w:val="00013324"/>
    <w:rsid w:val="0001650D"/>
    <w:rsid w:val="000165C2"/>
    <w:rsid w:val="00016AA0"/>
    <w:rsid w:val="00016DEF"/>
    <w:rsid w:val="000200D4"/>
    <w:rsid w:val="0002168B"/>
    <w:rsid w:val="00022DD4"/>
    <w:rsid w:val="000307E1"/>
    <w:rsid w:val="000313CE"/>
    <w:rsid w:val="00033C93"/>
    <w:rsid w:val="00033DB7"/>
    <w:rsid w:val="00034755"/>
    <w:rsid w:val="000369F8"/>
    <w:rsid w:val="0004542D"/>
    <w:rsid w:val="00045C10"/>
    <w:rsid w:val="000469B6"/>
    <w:rsid w:val="000521B8"/>
    <w:rsid w:val="00057AF4"/>
    <w:rsid w:val="0006045C"/>
    <w:rsid w:val="00061DC6"/>
    <w:rsid w:val="000625D8"/>
    <w:rsid w:val="00062F53"/>
    <w:rsid w:val="00063FCC"/>
    <w:rsid w:val="00066582"/>
    <w:rsid w:val="00070285"/>
    <w:rsid w:val="00070468"/>
    <w:rsid w:val="00071D3D"/>
    <w:rsid w:val="00074407"/>
    <w:rsid w:val="00075700"/>
    <w:rsid w:val="00075896"/>
    <w:rsid w:val="00080302"/>
    <w:rsid w:val="000828A4"/>
    <w:rsid w:val="0008370B"/>
    <w:rsid w:val="0008439D"/>
    <w:rsid w:val="00087E64"/>
    <w:rsid w:val="00091215"/>
    <w:rsid w:val="000913A9"/>
    <w:rsid w:val="00093685"/>
    <w:rsid w:val="000956E0"/>
    <w:rsid w:val="00095D24"/>
    <w:rsid w:val="000965DF"/>
    <w:rsid w:val="000A3BDC"/>
    <w:rsid w:val="000A6D5E"/>
    <w:rsid w:val="000A6ED3"/>
    <w:rsid w:val="000A753E"/>
    <w:rsid w:val="000A775E"/>
    <w:rsid w:val="000A78EC"/>
    <w:rsid w:val="000B14A7"/>
    <w:rsid w:val="000B2129"/>
    <w:rsid w:val="000B2146"/>
    <w:rsid w:val="000B25EC"/>
    <w:rsid w:val="000B36C8"/>
    <w:rsid w:val="000B3997"/>
    <w:rsid w:val="000B3ACD"/>
    <w:rsid w:val="000B4F0E"/>
    <w:rsid w:val="000B7FD1"/>
    <w:rsid w:val="000C1042"/>
    <w:rsid w:val="000C687C"/>
    <w:rsid w:val="000C6F8E"/>
    <w:rsid w:val="000D1396"/>
    <w:rsid w:val="000D390E"/>
    <w:rsid w:val="000D4CFA"/>
    <w:rsid w:val="000E07AD"/>
    <w:rsid w:val="000F0337"/>
    <w:rsid w:val="000F0959"/>
    <w:rsid w:val="000F356C"/>
    <w:rsid w:val="000F4A85"/>
    <w:rsid w:val="00100E17"/>
    <w:rsid w:val="00100F3A"/>
    <w:rsid w:val="00101A70"/>
    <w:rsid w:val="00102A59"/>
    <w:rsid w:val="00102B1A"/>
    <w:rsid w:val="0010711C"/>
    <w:rsid w:val="001105D9"/>
    <w:rsid w:val="00110F75"/>
    <w:rsid w:val="00116F36"/>
    <w:rsid w:val="001201BE"/>
    <w:rsid w:val="00121A66"/>
    <w:rsid w:val="00121EE1"/>
    <w:rsid w:val="00123DF6"/>
    <w:rsid w:val="00125A4C"/>
    <w:rsid w:val="00130E6E"/>
    <w:rsid w:val="00134294"/>
    <w:rsid w:val="00137968"/>
    <w:rsid w:val="00137D3A"/>
    <w:rsid w:val="001400B0"/>
    <w:rsid w:val="00140E94"/>
    <w:rsid w:val="00142392"/>
    <w:rsid w:val="00142FD8"/>
    <w:rsid w:val="00144CC3"/>
    <w:rsid w:val="00151148"/>
    <w:rsid w:val="00151A14"/>
    <w:rsid w:val="00152AE3"/>
    <w:rsid w:val="001537E4"/>
    <w:rsid w:val="001545FE"/>
    <w:rsid w:val="00155896"/>
    <w:rsid w:val="0016201C"/>
    <w:rsid w:val="00164862"/>
    <w:rsid w:val="00164FD9"/>
    <w:rsid w:val="0016588B"/>
    <w:rsid w:val="001663A6"/>
    <w:rsid w:val="00166EE2"/>
    <w:rsid w:val="001707DE"/>
    <w:rsid w:val="001714B4"/>
    <w:rsid w:val="001717C5"/>
    <w:rsid w:val="00172CDF"/>
    <w:rsid w:val="001756B7"/>
    <w:rsid w:val="00176636"/>
    <w:rsid w:val="00177C17"/>
    <w:rsid w:val="001804A2"/>
    <w:rsid w:val="001826E3"/>
    <w:rsid w:val="00182762"/>
    <w:rsid w:val="001860DA"/>
    <w:rsid w:val="001865AB"/>
    <w:rsid w:val="001900F3"/>
    <w:rsid w:val="001903AD"/>
    <w:rsid w:val="00190DD3"/>
    <w:rsid w:val="00192989"/>
    <w:rsid w:val="00192C2B"/>
    <w:rsid w:val="00194C85"/>
    <w:rsid w:val="00195ABE"/>
    <w:rsid w:val="001960CF"/>
    <w:rsid w:val="00196CE0"/>
    <w:rsid w:val="001A0190"/>
    <w:rsid w:val="001A3E04"/>
    <w:rsid w:val="001A4AE8"/>
    <w:rsid w:val="001A5BF2"/>
    <w:rsid w:val="001A5F50"/>
    <w:rsid w:val="001A700E"/>
    <w:rsid w:val="001B21F2"/>
    <w:rsid w:val="001B31C7"/>
    <w:rsid w:val="001B4DCC"/>
    <w:rsid w:val="001C19D8"/>
    <w:rsid w:val="001C5BBA"/>
    <w:rsid w:val="001C77A3"/>
    <w:rsid w:val="001D1933"/>
    <w:rsid w:val="001D1F2C"/>
    <w:rsid w:val="001D2190"/>
    <w:rsid w:val="001D3304"/>
    <w:rsid w:val="001D6E75"/>
    <w:rsid w:val="001E44FD"/>
    <w:rsid w:val="001F069D"/>
    <w:rsid w:val="001F164E"/>
    <w:rsid w:val="001F220E"/>
    <w:rsid w:val="001F353A"/>
    <w:rsid w:val="001F5419"/>
    <w:rsid w:val="001F66C4"/>
    <w:rsid w:val="001F6BC6"/>
    <w:rsid w:val="002016BB"/>
    <w:rsid w:val="00201CB7"/>
    <w:rsid w:val="00202ADF"/>
    <w:rsid w:val="002043A3"/>
    <w:rsid w:val="00207771"/>
    <w:rsid w:val="002114FC"/>
    <w:rsid w:val="00212809"/>
    <w:rsid w:val="00212FCA"/>
    <w:rsid w:val="00213DAF"/>
    <w:rsid w:val="002201A0"/>
    <w:rsid w:val="00221B78"/>
    <w:rsid w:val="00224E69"/>
    <w:rsid w:val="00227042"/>
    <w:rsid w:val="002329AA"/>
    <w:rsid w:val="00233419"/>
    <w:rsid w:val="00235E8C"/>
    <w:rsid w:val="002407E6"/>
    <w:rsid w:val="0024502B"/>
    <w:rsid w:val="002455D2"/>
    <w:rsid w:val="00245FF5"/>
    <w:rsid w:val="002464C2"/>
    <w:rsid w:val="002503C5"/>
    <w:rsid w:val="00251E66"/>
    <w:rsid w:val="0025354D"/>
    <w:rsid w:val="00260083"/>
    <w:rsid w:val="00261798"/>
    <w:rsid w:val="00261842"/>
    <w:rsid w:val="00262B8C"/>
    <w:rsid w:val="00263B36"/>
    <w:rsid w:val="00264736"/>
    <w:rsid w:val="0026507B"/>
    <w:rsid w:val="00265610"/>
    <w:rsid w:val="002725BD"/>
    <w:rsid w:val="00272B32"/>
    <w:rsid w:val="002754B0"/>
    <w:rsid w:val="00275EF0"/>
    <w:rsid w:val="002850ED"/>
    <w:rsid w:val="00290B81"/>
    <w:rsid w:val="00291264"/>
    <w:rsid w:val="002923CB"/>
    <w:rsid w:val="00293FD0"/>
    <w:rsid w:val="002955D3"/>
    <w:rsid w:val="0029668A"/>
    <w:rsid w:val="002A0726"/>
    <w:rsid w:val="002A2F9B"/>
    <w:rsid w:val="002A4DEB"/>
    <w:rsid w:val="002A5148"/>
    <w:rsid w:val="002A5275"/>
    <w:rsid w:val="002A6FDF"/>
    <w:rsid w:val="002A71EC"/>
    <w:rsid w:val="002B2932"/>
    <w:rsid w:val="002B42FA"/>
    <w:rsid w:val="002B4BC5"/>
    <w:rsid w:val="002B4F6F"/>
    <w:rsid w:val="002B53C0"/>
    <w:rsid w:val="002B71CB"/>
    <w:rsid w:val="002C167A"/>
    <w:rsid w:val="002C2D88"/>
    <w:rsid w:val="002C48D7"/>
    <w:rsid w:val="002C4B26"/>
    <w:rsid w:val="002C4B3B"/>
    <w:rsid w:val="002C4D86"/>
    <w:rsid w:val="002C57DB"/>
    <w:rsid w:val="002C620B"/>
    <w:rsid w:val="002C7925"/>
    <w:rsid w:val="002D09B8"/>
    <w:rsid w:val="002D0AA6"/>
    <w:rsid w:val="002D1BE2"/>
    <w:rsid w:val="002D30AC"/>
    <w:rsid w:val="002D6CDB"/>
    <w:rsid w:val="002E2203"/>
    <w:rsid w:val="002E3561"/>
    <w:rsid w:val="002E52C6"/>
    <w:rsid w:val="002F08A4"/>
    <w:rsid w:val="002F13CE"/>
    <w:rsid w:val="002F3677"/>
    <w:rsid w:val="002F7C37"/>
    <w:rsid w:val="0030016E"/>
    <w:rsid w:val="00300318"/>
    <w:rsid w:val="003068AE"/>
    <w:rsid w:val="00307D54"/>
    <w:rsid w:val="00310A31"/>
    <w:rsid w:val="00310EA3"/>
    <w:rsid w:val="00320F86"/>
    <w:rsid w:val="00323020"/>
    <w:rsid w:val="0032391A"/>
    <w:rsid w:val="00323AA9"/>
    <w:rsid w:val="00324FE1"/>
    <w:rsid w:val="00327687"/>
    <w:rsid w:val="00327DEA"/>
    <w:rsid w:val="0033065E"/>
    <w:rsid w:val="00333E8C"/>
    <w:rsid w:val="00333F03"/>
    <w:rsid w:val="00341F99"/>
    <w:rsid w:val="003424D8"/>
    <w:rsid w:val="00342502"/>
    <w:rsid w:val="00342901"/>
    <w:rsid w:val="00343EDF"/>
    <w:rsid w:val="00344DB3"/>
    <w:rsid w:val="00345527"/>
    <w:rsid w:val="00346490"/>
    <w:rsid w:val="00346589"/>
    <w:rsid w:val="00347F23"/>
    <w:rsid w:val="0035149C"/>
    <w:rsid w:val="00352771"/>
    <w:rsid w:val="00356BCD"/>
    <w:rsid w:val="00357772"/>
    <w:rsid w:val="003608C4"/>
    <w:rsid w:val="00360CB0"/>
    <w:rsid w:val="00360DF0"/>
    <w:rsid w:val="003616E7"/>
    <w:rsid w:val="00361CFB"/>
    <w:rsid w:val="00362559"/>
    <w:rsid w:val="003633E2"/>
    <w:rsid w:val="00364E30"/>
    <w:rsid w:val="00372A1F"/>
    <w:rsid w:val="00374CD5"/>
    <w:rsid w:val="0037552D"/>
    <w:rsid w:val="00377C6D"/>
    <w:rsid w:val="00380EDB"/>
    <w:rsid w:val="00380F95"/>
    <w:rsid w:val="003819EF"/>
    <w:rsid w:val="00382FE6"/>
    <w:rsid w:val="00387EC1"/>
    <w:rsid w:val="003903DF"/>
    <w:rsid w:val="0039061C"/>
    <w:rsid w:val="003909E1"/>
    <w:rsid w:val="0039100C"/>
    <w:rsid w:val="003923FB"/>
    <w:rsid w:val="00394A1A"/>
    <w:rsid w:val="003968B6"/>
    <w:rsid w:val="00397304"/>
    <w:rsid w:val="0039786F"/>
    <w:rsid w:val="003A026A"/>
    <w:rsid w:val="003A0AB1"/>
    <w:rsid w:val="003A0CD6"/>
    <w:rsid w:val="003A2B55"/>
    <w:rsid w:val="003A5B54"/>
    <w:rsid w:val="003A7EBE"/>
    <w:rsid w:val="003B0576"/>
    <w:rsid w:val="003B2D26"/>
    <w:rsid w:val="003B4851"/>
    <w:rsid w:val="003B4FB7"/>
    <w:rsid w:val="003C0B5C"/>
    <w:rsid w:val="003C15A7"/>
    <w:rsid w:val="003C1B88"/>
    <w:rsid w:val="003C2073"/>
    <w:rsid w:val="003C537C"/>
    <w:rsid w:val="003D4A5C"/>
    <w:rsid w:val="003D6A64"/>
    <w:rsid w:val="003D70C5"/>
    <w:rsid w:val="003D7372"/>
    <w:rsid w:val="003D7788"/>
    <w:rsid w:val="003E0861"/>
    <w:rsid w:val="003F0748"/>
    <w:rsid w:val="003F077F"/>
    <w:rsid w:val="003F0CCB"/>
    <w:rsid w:val="003F107D"/>
    <w:rsid w:val="003F1109"/>
    <w:rsid w:val="003F2A30"/>
    <w:rsid w:val="003F44EB"/>
    <w:rsid w:val="003F5B50"/>
    <w:rsid w:val="003F64B0"/>
    <w:rsid w:val="003F653E"/>
    <w:rsid w:val="003F6C25"/>
    <w:rsid w:val="003F7CD6"/>
    <w:rsid w:val="004004F2"/>
    <w:rsid w:val="00402376"/>
    <w:rsid w:val="00402687"/>
    <w:rsid w:val="00403219"/>
    <w:rsid w:val="004049E8"/>
    <w:rsid w:val="00411535"/>
    <w:rsid w:val="00411FA1"/>
    <w:rsid w:val="004144BC"/>
    <w:rsid w:val="00417866"/>
    <w:rsid w:val="00420610"/>
    <w:rsid w:val="00420BAD"/>
    <w:rsid w:val="0042114E"/>
    <w:rsid w:val="004266A7"/>
    <w:rsid w:val="00427E42"/>
    <w:rsid w:val="00427EB6"/>
    <w:rsid w:val="00432C3D"/>
    <w:rsid w:val="00435831"/>
    <w:rsid w:val="00435AEB"/>
    <w:rsid w:val="00440410"/>
    <w:rsid w:val="00440BC4"/>
    <w:rsid w:val="00443049"/>
    <w:rsid w:val="00444F37"/>
    <w:rsid w:val="00445255"/>
    <w:rsid w:val="00445D63"/>
    <w:rsid w:val="00445E81"/>
    <w:rsid w:val="00446BEB"/>
    <w:rsid w:val="00447347"/>
    <w:rsid w:val="004502B2"/>
    <w:rsid w:val="0045037E"/>
    <w:rsid w:val="00451E4F"/>
    <w:rsid w:val="004525A4"/>
    <w:rsid w:val="00452F1F"/>
    <w:rsid w:val="00455B78"/>
    <w:rsid w:val="004566E0"/>
    <w:rsid w:val="0046232C"/>
    <w:rsid w:val="004633BF"/>
    <w:rsid w:val="00463951"/>
    <w:rsid w:val="0046451A"/>
    <w:rsid w:val="00464AF9"/>
    <w:rsid w:val="004677A7"/>
    <w:rsid w:val="004738CD"/>
    <w:rsid w:val="00475FAF"/>
    <w:rsid w:val="004760B6"/>
    <w:rsid w:val="00477B72"/>
    <w:rsid w:val="00480564"/>
    <w:rsid w:val="00480A9B"/>
    <w:rsid w:val="00481247"/>
    <w:rsid w:val="00481667"/>
    <w:rsid w:val="00481DB4"/>
    <w:rsid w:val="00484B28"/>
    <w:rsid w:val="00484E7A"/>
    <w:rsid w:val="00486807"/>
    <w:rsid w:val="00486817"/>
    <w:rsid w:val="00487928"/>
    <w:rsid w:val="00490349"/>
    <w:rsid w:val="004905F8"/>
    <w:rsid w:val="00491382"/>
    <w:rsid w:val="0049382F"/>
    <w:rsid w:val="0049450B"/>
    <w:rsid w:val="0049450F"/>
    <w:rsid w:val="004959F4"/>
    <w:rsid w:val="004968F9"/>
    <w:rsid w:val="004970DB"/>
    <w:rsid w:val="004A15E0"/>
    <w:rsid w:val="004A4BB7"/>
    <w:rsid w:val="004A539D"/>
    <w:rsid w:val="004B4A16"/>
    <w:rsid w:val="004B6FF0"/>
    <w:rsid w:val="004C1173"/>
    <w:rsid w:val="004C17D8"/>
    <w:rsid w:val="004C299A"/>
    <w:rsid w:val="004C50B4"/>
    <w:rsid w:val="004C5876"/>
    <w:rsid w:val="004C7159"/>
    <w:rsid w:val="004D0ECB"/>
    <w:rsid w:val="004D5218"/>
    <w:rsid w:val="004D5651"/>
    <w:rsid w:val="004D7B35"/>
    <w:rsid w:val="004D7EB5"/>
    <w:rsid w:val="004E1047"/>
    <w:rsid w:val="004E1C47"/>
    <w:rsid w:val="004E25BC"/>
    <w:rsid w:val="004E560F"/>
    <w:rsid w:val="004E6C38"/>
    <w:rsid w:val="004E6D81"/>
    <w:rsid w:val="004E79AE"/>
    <w:rsid w:val="004F42A6"/>
    <w:rsid w:val="004F446C"/>
    <w:rsid w:val="004F64A2"/>
    <w:rsid w:val="004F6F4D"/>
    <w:rsid w:val="0050017B"/>
    <w:rsid w:val="0050187E"/>
    <w:rsid w:val="00502735"/>
    <w:rsid w:val="00502819"/>
    <w:rsid w:val="0050288B"/>
    <w:rsid w:val="00502D9E"/>
    <w:rsid w:val="005111B0"/>
    <w:rsid w:val="00512858"/>
    <w:rsid w:val="0051288F"/>
    <w:rsid w:val="00512AD9"/>
    <w:rsid w:val="00514BBD"/>
    <w:rsid w:val="00514F6B"/>
    <w:rsid w:val="005151D9"/>
    <w:rsid w:val="00516750"/>
    <w:rsid w:val="00521B1E"/>
    <w:rsid w:val="00522518"/>
    <w:rsid w:val="00524E9C"/>
    <w:rsid w:val="00526311"/>
    <w:rsid w:val="005269A9"/>
    <w:rsid w:val="0052739D"/>
    <w:rsid w:val="00530D51"/>
    <w:rsid w:val="00533531"/>
    <w:rsid w:val="0053486C"/>
    <w:rsid w:val="0053614E"/>
    <w:rsid w:val="00537597"/>
    <w:rsid w:val="00541D97"/>
    <w:rsid w:val="005424A4"/>
    <w:rsid w:val="005427C0"/>
    <w:rsid w:val="005433DC"/>
    <w:rsid w:val="00544F76"/>
    <w:rsid w:val="00552391"/>
    <w:rsid w:val="0055330B"/>
    <w:rsid w:val="0055374E"/>
    <w:rsid w:val="00553EE8"/>
    <w:rsid w:val="00556602"/>
    <w:rsid w:val="00556AAA"/>
    <w:rsid w:val="00561474"/>
    <w:rsid w:val="005625F9"/>
    <w:rsid w:val="00565AE3"/>
    <w:rsid w:val="0056731E"/>
    <w:rsid w:val="005678CB"/>
    <w:rsid w:val="00570951"/>
    <w:rsid w:val="00571835"/>
    <w:rsid w:val="0057330F"/>
    <w:rsid w:val="005746B3"/>
    <w:rsid w:val="00574AF9"/>
    <w:rsid w:val="00574E22"/>
    <w:rsid w:val="005750D5"/>
    <w:rsid w:val="00575612"/>
    <w:rsid w:val="005758F5"/>
    <w:rsid w:val="005764A5"/>
    <w:rsid w:val="005800ED"/>
    <w:rsid w:val="005857C2"/>
    <w:rsid w:val="005859A4"/>
    <w:rsid w:val="0058712E"/>
    <w:rsid w:val="00590F0C"/>
    <w:rsid w:val="005911FC"/>
    <w:rsid w:val="00591A89"/>
    <w:rsid w:val="00592BA9"/>
    <w:rsid w:val="0059332C"/>
    <w:rsid w:val="00595ADE"/>
    <w:rsid w:val="00595CEE"/>
    <w:rsid w:val="005A2D21"/>
    <w:rsid w:val="005A3613"/>
    <w:rsid w:val="005A38EE"/>
    <w:rsid w:val="005A56E6"/>
    <w:rsid w:val="005A6EF0"/>
    <w:rsid w:val="005B4088"/>
    <w:rsid w:val="005B4688"/>
    <w:rsid w:val="005B5ACA"/>
    <w:rsid w:val="005C0705"/>
    <w:rsid w:val="005C1F86"/>
    <w:rsid w:val="005C300B"/>
    <w:rsid w:val="005C48A2"/>
    <w:rsid w:val="005C5258"/>
    <w:rsid w:val="005C6628"/>
    <w:rsid w:val="005D1842"/>
    <w:rsid w:val="005D21FD"/>
    <w:rsid w:val="005D4BCA"/>
    <w:rsid w:val="005D6F0A"/>
    <w:rsid w:val="005D781D"/>
    <w:rsid w:val="005E3904"/>
    <w:rsid w:val="005E3A81"/>
    <w:rsid w:val="005E3B9A"/>
    <w:rsid w:val="005E3D31"/>
    <w:rsid w:val="005E45F6"/>
    <w:rsid w:val="005E51A3"/>
    <w:rsid w:val="005E6766"/>
    <w:rsid w:val="005E7688"/>
    <w:rsid w:val="005E7D94"/>
    <w:rsid w:val="005F0EFE"/>
    <w:rsid w:val="005F149C"/>
    <w:rsid w:val="005F35D9"/>
    <w:rsid w:val="005F39C0"/>
    <w:rsid w:val="005F488F"/>
    <w:rsid w:val="005F490B"/>
    <w:rsid w:val="005F5987"/>
    <w:rsid w:val="005F65BD"/>
    <w:rsid w:val="0060141E"/>
    <w:rsid w:val="00602EDE"/>
    <w:rsid w:val="00604A93"/>
    <w:rsid w:val="00604E1B"/>
    <w:rsid w:val="006058F9"/>
    <w:rsid w:val="006079E7"/>
    <w:rsid w:val="00611E1D"/>
    <w:rsid w:val="006127AA"/>
    <w:rsid w:val="00621D75"/>
    <w:rsid w:val="006222B5"/>
    <w:rsid w:val="00624663"/>
    <w:rsid w:val="006254F9"/>
    <w:rsid w:val="00625BD0"/>
    <w:rsid w:val="00626BC4"/>
    <w:rsid w:val="00632461"/>
    <w:rsid w:val="00632BBE"/>
    <w:rsid w:val="006348F9"/>
    <w:rsid w:val="00635DF7"/>
    <w:rsid w:val="00636373"/>
    <w:rsid w:val="00636ADB"/>
    <w:rsid w:val="006400DC"/>
    <w:rsid w:val="0064668E"/>
    <w:rsid w:val="0065059C"/>
    <w:rsid w:val="00650DE3"/>
    <w:rsid w:val="006510B5"/>
    <w:rsid w:val="0065239C"/>
    <w:rsid w:val="0065255C"/>
    <w:rsid w:val="0065257C"/>
    <w:rsid w:val="00655D20"/>
    <w:rsid w:val="00656267"/>
    <w:rsid w:val="00660142"/>
    <w:rsid w:val="00660199"/>
    <w:rsid w:val="00660573"/>
    <w:rsid w:val="006645BE"/>
    <w:rsid w:val="00671D11"/>
    <w:rsid w:val="00672EEF"/>
    <w:rsid w:val="00673F3A"/>
    <w:rsid w:val="00674AEE"/>
    <w:rsid w:val="006767CA"/>
    <w:rsid w:val="00681EB3"/>
    <w:rsid w:val="00682BA9"/>
    <w:rsid w:val="0068510A"/>
    <w:rsid w:val="006868FC"/>
    <w:rsid w:val="00686AA8"/>
    <w:rsid w:val="006924E7"/>
    <w:rsid w:val="00693A79"/>
    <w:rsid w:val="00694C82"/>
    <w:rsid w:val="006951D0"/>
    <w:rsid w:val="0069555C"/>
    <w:rsid w:val="00695AD2"/>
    <w:rsid w:val="00696A91"/>
    <w:rsid w:val="00697013"/>
    <w:rsid w:val="006A306D"/>
    <w:rsid w:val="006A603D"/>
    <w:rsid w:val="006A63D2"/>
    <w:rsid w:val="006A74AA"/>
    <w:rsid w:val="006B31DA"/>
    <w:rsid w:val="006B3B42"/>
    <w:rsid w:val="006B58E7"/>
    <w:rsid w:val="006B7584"/>
    <w:rsid w:val="006C18A7"/>
    <w:rsid w:val="006C39FB"/>
    <w:rsid w:val="006D02EB"/>
    <w:rsid w:val="006D17EA"/>
    <w:rsid w:val="006D217B"/>
    <w:rsid w:val="006D508D"/>
    <w:rsid w:val="006E2156"/>
    <w:rsid w:val="006E217E"/>
    <w:rsid w:val="006E4B05"/>
    <w:rsid w:val="006E5CB7"/>
    <w:rsid w:val="006E670A"/>
    <w:rsid w:val="006F03C9"/>
    <w:rsid w:val="006F2D1B"/>
    <w:rsid w:val="006F2D2D"/>
    <w:rsid w:val="006F351F"/>
    <w:rsid w:val="006F481C"/>
    <w:rsid w:val="006F49FB"/>
    <w:rsid w:val="006F5821"/>
    <w:rsid w:val="006F6696"/>
    <w:rsid w:val="00700DB5"/>
    <w:rsid w:val="00701E9D"/>
    <w:rsid w:val="00702284"/>
    <w:rsid w:val="007029F9"/>
    <w:rsid w:val="00704279"/>
    <w:rsid w:val="0070444A"/>
    <w:rsid w:val="00704488"/>
    <w:rsid w:val="0070448A"/>
    <w:rsid w:val="0070489C"/>
    <w:rsid w:val="00706AAE"/>
    <w:rsid w:val="0070729E"/>
    <w:rsid w:val="007076D8"/>
    <w:rsid w:val="0071250B"/>
    <w:rsid w:val="00713BE8"/>
    <w:rsid w:val="00714495"/>
    <w:rsid w:val="007169D1"/>
    <w:rsid w:val="00717AED"/>
    <w:rsid w:val="00722BD2"/>
    <w:rsid w:val="00725EBE"/>
    <w:rsid w:val="0073133C"/>
    <w:rsid w:val="007319A2"/>
    <w:rsid w:val="00732B5C"/>
    <w:rsid w:val="00733414"/>
    <w:rsid w:val="0073510A"/>
    <w:rsid w:val="007364EF"/>
    <w:rsid w:val="00740BCE"/>
    <w:rsid w:val="00741149"/>
    <w:rsid w:val="007447BA"/>
    <w:rsid w:val="007448CC"/>
    <w:rsid w:val="007456BA"/>
    <w:rsid w:val="007463B9"/>
    <w:rsid w:val="0075242D"/>
    <w:rsid w:val="00753D2C"/>
    <w:rsid w:val="007551CF"/>
    <w:rsid w:val="00755935"/>
    <w:rsid w:val="007568CB"/>
    <w:rsid w:val="00763F38"/>
    <w:rsid w:val="0076579E"/>
    <w:rsid w:val="00766ECF"/>
    <w:rsid w:val="00777234"/>
    <w:rsid w:val="007772F5"/>
    <w:rsid w:val="0078207C"/>
    <w:rsid w:val="00784A2D"/>
    <w:rsid w:val="00784BDE"/>
    <w:rsid w:val="007852E1"/>
    <w:rsid w:val="00791EE2"/>
    <w:rsid w:val="00792160"/>
    <w:rsid w:val="007921A7"/>
    <w:rsid w:val="007927E1"/>
    <w:rsid w:val="00795F03"/>
    <w:rsid w:val="00797916"/>
    <w:rsid w:val="007A167A"/>
    <w:rsid w:val="007A2340"/>
    <w:rsid w:val="007A275A"/>
    <w:rsid w:val="007A3630"/>
    <w:rsid w:val="007A3C7C"/>
    <w:rsid w:val="007A400F"/>
    <w:rsid w:val="007A41B3"/>
    <w:rsid w:val="007B00C8"/>
    <w:rsid w:val="007B4920"/>
    <w:rsid w:val="007B4AA1"/>
    <w:rsid w:val="007B6470"/>
    <w:rsid w:val="007B7470"/>
    <w:rsid w:val="007B74DB"/>
    <w:rsid w:val="007C5374"/>
    <w:rsid w:val="007C64A0"/>
    <w:rsid w:val="007C6A0B"/>
    <w:rsid w:val="007D0D2A"/>
    <w:rsid w:val="007D2D10"/>
    <w:rsid w:val="007D3C82"/>
    <w:rsid w:val="007D445B"/>
    <w:rsid w:val="007D59EC"/>
    <w:rsid w:val="007D668A"/>
    <w:rsid w:val="007D67D3"/>
    <w:rsid w:val="007E0956"/>
    <w:rsid w:val="007E1736"/>
    <w:rsid w:val="007E1BE1"/>
    <w:rsid w:val="007E22DD"/>
    <w:rsid w:val="007E273B"/>
    <w:rsid w:val="007E6204"/>
    <w:rsid w:val="007F0707"/>
    <w:rsid w:val="007F0815"/>
    <w:rsid w:val="007F0DF1"/>
    <w:rsid w:val="007F18FB"/>
    <w:rsid w:val="007F236A"/>
    <w:rsid w:val="007F5430"/>
    <w:rsid w:val="007F59BA"/>
    <w:rsid w:val="007F5C05"/>
    <w:rsid w:val="007F6281"/>
    <w:rsid w:val="007F6998"/>
    <w:rsid w:val="007F6C75"/>
    <w:rsid w:val="007F6EA6"/>
    <w:rsid w:val="007F7091"/>
    <w:rsid w:val="0080050F"/>
    <w:rsid w:val="0080123F"/>
    <w:rsid w:val="00802550"/>
    <w:rsid w:val="00802B9C"/>
    <w:rsid w:val="008036EF"/>
    <w:rsid w:val="00804AAC"/>
    <w:rsid w:val="00806319"/>
    <w:rsid w:val="0080729F"/>
    <w:rsid w:val="0081056B"/>
    <w:rsid w:val="008177DD"/>
    <w:rsid w:val="008220AE"/>
    <w:rsid w:val="00822C2F"/>
    <w:rsid w:val="0082356F"/>
    <w:rsid w:val="00825DA9"/>
    <w:rsid w:val="00826DC6"/>
    <w:rsid w:val="008278EA"/>
    <w:rsid w:val="0083129A"/>
    <w:rsid w:val="00836854"/>
    <w:rsid w:val="008369E4"/>
    <w:rsid w:val="008412FF"/>
    <w:rsid w:val="00842011"/>
    <w:rsid w:val="008448FC"/>
    <w:rsid w:val="00845FD1"/>
    <w:rsid w:val="0084658A"/>
    <w:rsid w:val="00846ED5"/>
    <w:rsid w:val="008472E5"/>
    <w:rsid w:val="0085110B"/>
    <w:rsid w:val="0085130B"/>
    <w:rsid w:val="00851541"/>
    <w:rsid w:val="00851B16"/>
    <w:rsid w:val="00854F7F"/>
    <w:rsid w:val="00856B0F"/>
    <w:rsid w:val="0086310B"/>
    <w:rsid w:val="00864DE6"/>
    <w:rsid w:val="00865DC3"/>
    <w:rsid w:val="008672B1"/>
    <w:rsid w:val="008702C3"/>
    <w:rsid w:val="00870E88"/>
    <w:rsid w:val="00872CD5"/>
    <w:rsid w:val="0087355D"/>
    <w:rsid w:val="008748E1"/>
    <w:rsid w:val="00876710"/>
    <w:rsid w:val="00877B1B"/>
    <w:rsid w:val="00877B1E"/>
    <w:rsid w:val="0088123E"/>
    <w:rsid w:val="00881790"/>
    <w:rsid w:val="00881DD3"/>
    <w:rsid w:val="00882F47"/>
    <w:rsid w:val="00883109"/>
    <w:rsid w:val="008903A8"/>
    <w:rsid w:val="00890828"/>
    <w:rsid w:val="00893996"/>
    <w:rsid w:val="00894B70"/>
    <w:rsid w:val="008A18BB"/>
    <w:rsid w:val="008A6133"/>
    <w:rsid w:val="008A6D16"/>
    <w:rsid w:val="008B0062"/>
    <w:rsid w:val="008B07A4"/>
    <w:rsid w:val="008B1565"/>
    <w:rsid w:val="008B186B"/>
    <w:rsid w:val="008B3E22"/>
    <w:rsid w:val="008B5230"/>
    <w:rsid w:val="008B56E2"/>
    <w:rsid w:val="008B5A9F"/>
    <w:rsid w:val="008B7A75"/>
    <w:rsid w:val="008C3004"/>
    <w:rsid w:val="008C47B2"/>
    <w:rsid w:val="008C5348"/>
    <w:rsid w:val="008C58F0"/>
    <w:rsid w:val="008C5B15"/>
    <w:rsid w:val="008C6517"/>
    <w:rsid w:val="008C6CA7"/>
    <w:rsid w:val="008C7287"/>
    <w:rsid w:val="008D0B38"/>
    <w:rsid w:val="008D1849"/>
    <w:rsid w:val="008D498B"/>
    <w:rsid w:val="008D56CA"/>
    <w:rsid w:val="008D7973"/>
    <w:rsid w:val="008E35AF"/>
    <w:rsid w:val="008E374D"/>
    <w:rsid w:val="008E4955"/>
    <w:rsid w:val="008E51D3"/>
    <w:rsid w:val="008E72AF"/>
    <w:rsid w:val="008E7BF3"/>
    <w:rsid w:val="008F03BA"/>
    <w:rsid w:val="008F2553"/>
    <w:rsid w:val="008F34F3"/>
    <w:rsid w:val="008F40AD"/>
    <w:rsid w:val="008F6B90"/>
    <w:rsid w:val="008F6CFF"/>
    <w:rsid w:val="008F70B1"/>
    <w:rsid w:val="00905E71"/>
    <w:rsid w:val="0090714A"/>
    <w:rsid w:val="00910ED7"/>
    <w:rsid w:val="00910FD2"/>
    <w:rsid w:val="009115DB"/>
    <w:rsid w:val="00911A17"/>
    <w:rsid w:val="009122BF"/>
    <w:rsid w:val="00913395"/>
    <w:rsid w:val="0091421C"/>
    <w:rsid w:val="009148A8"/>
    <w:rsid w:val="00916103"/>
    <w:rsid w:val="009204AD"/>
    <w:rsid w:val="00920501"/>
    <w:rsid w:val="00921098"/>
    <w:rsid w:val="0092173B"/>
    <w:rsid w:val="009230C5"/>
    <w:rsid w:val="00924914"/>
    <w:rsid w:val="00926F60"/>
    <w:rsid w:val="00930A35"/>
    <w:rsid w:val="009310FE"/>
    <w:rsid w:val="0093117A"/>
    <w:rsid w:val="00934284"/>
    <w:rsid w:val="00935139"/>
    <w:rsid w:val="00935250"/>
    <w:rsid w:val="009353F2"/>
    <w:rsid w:val="009361C5"/>
    <w:rsid w:val="00937019"/>
    <w:rsid w:val="00940A70"/>
    <w:rsid w:val="0094154E"/>
    <w:rsid w:val="009518FC"/>
    <w:rsid w:val="00953130"/>
    <w:rsid w:val="00953984"/>
    <w:rsid w:val="0095610D"/>
    <w:rsid w:val="0096167C"/>
    <w:rsid w:val="0096222C"/>
    <w:rsid w:val="0096437B"/>
    <w:rsid w:val="00964609"/>
    <w:rsid w:val="0096521B"/>
    <w:rsid w:val="009660A7"/>
    <w:rsid w:val="00970516"/>
    <w:rsid w:val="00974E79"/>
    <w:rsid w:val="00976869"/>
    <w:rsid w:val="00976DB8"/>
    <w:rsid w:val="00981FC8"/>
    <w:rsid w:val="00982D4D"/>
    <w:rsid w:val="0098449C"/>
    <w:rsid w:val="00985E62"/>
    <w:rsid w:val="00986BF0"/>
    <w:rsid w:val="00991C67"/>
    <w:rsid w:val="00994C36"/>
    <w:rsid w:val="009A02C2"/>
    <w:rsid w:val="009A04A9"/>
    <w:rsid w:val="009A16A0"/>
    <w:rsid w:val="009A1B8E"/>
    <w:rsid w:val="009A1E8A"/>
    <w:rsid w:val="009A23C2"/>
    <w:rsid w:val="009A2D6B"/>
    <w:rsid w:val="009A30E9"/>
    <w:rsid w:val="009A3F68"/>
    <w:rsid w:val="009A510D"/>
    <w:rsid w:val="009A540C"/>
    <w:rsid w:val="009B1D56"/>
    <w:rsid w:val="009B1F27"/>
    <w:rsid w:val="009B540F"/>
    <w:rsid w:val="009C0036"/>
    <w:rsid w:val="009C1C8E"/>
    <w:rsid w:val="009C7522"/>
    <w:rsid w:val="009C78B1"/>
    <w:rsid w:val="009D1E7F"/>
    <w:rsid w:val="009D45FD"/>
    <w:rsid w:val="009D5919"/>
    <w:rsid w:val="009D6DB1"/>
    <w:rsid w:val="009D6F43"/>
    <w:rsid w:val="009E0701"/>
    <w:rsid w:val="009E0A06"/>
    <w:rsid w:val="009E2772"/>
    <w:rsid w:val="009E354F"/>
    <w:rsid w:val="009E41ED"/>
    <w:rsid w:val="009E53A3"/>
    <w:rsid w:val="009E72AA"/>
    <w:rsid w:val="009E7C76"/>
    <w:rsid w:val="009F04E5"/>
    <w:rsid w:val="00A02D17"/>
    <w:rsid w:val="00A03FFB"/>
    <w:rsid w:val="00A05DBD"/>
    <w:rsid w:val="00A07653"/>
    <w:rsid w:val="00A10735"/>
    <w:rsid w:val="00A11DE3"/>
    <w:rsid w:val="00A136E7"/>
    <w:rsid w:val="00A13C9D"/>
    <w:rsid w:val="00A2272B"/>
    <w:rsid w:val="00A22AE9"/>
    <w:rsid w:val="00A2340E"/>
    <w:rsid w:val="00A23473"/>
    <w:rsid w:val="00A24424"/>
    <w:rsid w:val="00A25809"/>
    <w:rsid w:val="00A31EB5"/>
    <w:rsid w:val="00A3308E"/>
    <w:rsid w:val="00A341A1"/>
    <w:rsid w:val="00A36DF7"/>
    <w:rsid w:val="00A37EDA"/>
    <w:rsid w:val="00A449B5"/>
    <w:rsid w:val="00A451F2"/>
    <w:rsid w:val="00A46EE0"/>
    <w:rsid w:val="00A52AD9"/>
    <w:rsid w:val="00A52AE9"/>
    <w:rsid w:val="00A53304"/>
    <w:rsid w:val="00A546F1"/>
    <w:rsid w:val="00A5620A"/>
    <w:rsid w:val="00A57AFF"/>
    <w:rsid w:val="00A6268A"/>
    <w:rsid w:val="00A63FCB"/>
    <w:rsid w:val="00A645D6"/>
    <w:rsid w:val="00A647B8"/>
    <w:rsid w:val="00A64CEC"/>
    <w:rsid w:val="00A65484"/>
    <w:rsid w:val="00A65EEE"/>
    <w:rsid w:val="00A70692"/>
    <w:rsid w:val="00A726A4"/>
    <w:rsid w:val="00A72AA5"/>
    <w:rsid w:val="00A73303"/>
    <w:rsid w:val="00A73A22"/>
    <w:rsid w:val="00A750D8"/>
    <w:rsid w:val="00A77B09"/>
    <w:rsid w:val="00A77F62"/>
    <w:rsid w:val="00A806BF"/>
    <w:rsid w:val="00A80F32"/>
    <w:rsid w:val="00A81813"/>
    <w:rsid w:val="00A818B7"/>
    <w:rsid w:val="00A81ADD"/>
    <w:rsid w:val="00A85CF7"/>
    <w:rsid w:val="00A86792"/>
    <w:rsid w:val="00A86873"/>
    <w:rsid w:val="00A8729E"/>
    <w:rsid w:val="00A900B8"/>
    <w:rsid w:val="00A9108D"/>
    <w:rsid w:val="00A92BE7"/>
    <w:rsid w:val="00AA0722"/>
    <w:rsid w:val="00AA3230"/>
    <w:rsid w:val="00AA4133"/>
    <w:rsid w:val="00AA433F"/>
    <w:rsid w:val="00AA5E1C"/>
    <w:rsid w:val="00AB045B"/>
    <w:rsid w:val="00AB4932"/>
    <w:rsid w:val="00AB4B58"/>
    <w:rsid w:val="00AB585B"/>
    <w:rsid w:val="00AB68A2"/>
    <w:rsid w:val="00AB6DC5"/>
    <w:rsid w:val="00AB758E"/>
    <w:rsid w:val="00AB7A5F"/>
    <w:rsid w:val="00AC0104"/>
    <w:rsid w:val="00AC1DF5"/>
    <w:rsid w:val="00AC230A"/>
    <w:rsid w:val="00AC3739"/>
    <w:rsid w:val="00AC3872"/>
    <w:rsid w:val="00AC5445"/>
    <w:rsid w:val="00AC55DF"/>
    <w:rsid w:val="00AC777F"/>
    <w:rsid w:val="00AD19BE"/>
    <w:rsid w:val="00AD2A61"/>
    <w:rsid w:val="00AD2C15"/>
    <w:rsid w:val="00AD5707"/>
    <w:rsid w:val="00AD73E5"/>
    <w:rsid w:val="00AE19B9"/>
    <w:rsid w:val="00AE1F76"/>
    <w:rsid w:val="00AE206D"/>
    <w:rsid w:val="00AE43D9"/>
    <w:rsid w:val="00AE55D0"/>
    <w:rsid w:val="00AF187C"/>
    <w:rsid w:val="00AF21A9"/>
    <w:rsid w:val="00AF3416"/>
    <w:rsid w:val="00AF37B1"/>
    <w:rsid w:val="00AF3CE8"/>
    <w:rsid w:val="00AF4553"/>
    <w:rsid w:val="00AF6206"/>
    <w:rsid w:val="00AF6431"/>
    <w:rsid w:val="00AF6732"/>
    <w:rsid w:val="00AF7662"/>
    <w:rsid w:val="00AF7CE0"/>
    <w:rsid w:val="00B003DD"/>
    <w:rsid w:val="00B00D39"/>
    <w:rsid w:val="00B03900"/>
    <w:rsid w:val="00B04548"/>
    <w:rsid w:val="00B06449"/>
    <w:rsid w:val="00B06DA1"/>
    <w:rsid w:val="00B07890"/>
    <w:rsid w:val="00B150BB"/>
    <w:rsid w:val="00B150E7"/>
    <w:rsid w:val="00B162BB"/>
    <w:rsid w:val="00B20E7E"/>
    <w:rsid w:val="00B21602"/>
    <w:rsid w:val="00B21712"/>
    <w:rsid w:val="00B21C63"/>
    <w:rsid w:val="00B21E75"/>
    <w:rsid w:val="00B225A8"/>
    <w:rsid w:val="00B23714"/>
    <w:rsid w:val="00B249D2"/>
    <w:rsid w:val="00B25B0B"/>
    <w:rsid w:val="00B2660D"/>
    <w:rsid w:val="00B33B7E"/>
    <w:rsid w:val="00B4044F"/>
    <w:rsid w:val="00B43165"/>
    <w:rsid w:val="00B43227"/>
    <w:rsid w:val="00B4344A"/>
    <w:rsid w:val="00B43750"/>
    <w:rsid w:val="00B4445B"/>
    <w:rsid w:val="00B449C0"/>
    <w:rsid w:val="00B44D52"/>
    <w:rsid w:val="00B46ABE"/>
    <w:rsid w:val="00B52027"/>
    <w:rsid w:val="00B55C36"/>
    <w:rsid w:val="00B574C9"/>
    <w:rsid w:val="00B608A1"/>
    <w:rsid w:val="00B60FCD"/>
    <w:rsid w:val="00B64E13"/>
    <w:rsid w:val="00B66013"/>
    <w:rsid w:val="00B6652C"/>
    <w:rsid w:val="00B7061D"/>
    <w:rsid w:val="00B71515"/>
    <w:rsid w:val="00B750C7"/>
    <w:rsid w:val="00B75E18"/>
    <w:rsid w:val="00B769D2"/>
    <w:rsid w:val="00B76DC1"/>
    <w:rsid w:val="00B80A0A"/>
    <w:rsid w:val="00B812FE"/>
    <w:rsid w:val="00B92BE8"/>
    <w:rsid w:val="00B94D75"/>
    <w:rsid w:val="00B95792"/>
    <w:rsid w:val="00B96901"/>
    <w:rsid w:val="00BA0F75"/>
    <w:rsid w:val="00BA1E86"/>
    <w:rsid w:val="00BA2248"/>
    <w:rsid w:val="00BA4254"/>
    <w:rsid w:val="00BB27E2"/>
    <w:rsid w:val="00BB4C33"/>
    <w:rsid w:val="00BB55F8"/>
    <w:rsid w:val="00BC1015"/>
    <w:rsid w:val="00BC1457"/>
    <w:rsid w:val="00BC3506"/>
    <w:rsid w:val="00BC4F95"/>
    <w:rsid w:val="00BC5233"/>
    <w:rsid w:val="00BC6C62"/>
    <w:rsid w:val="00BD13F3"/>
    <w:rsid w:val="00BD4F84"/>
    <w:rsid w:val="00BD6C48"/>
    <w:rsid w:val="00BE2D78"/>
    <w:rsid w:val="00BE3349"/>
    <w:rsid w:val="00BE3E2C"/>
    <w:rsid w:val="00BE539E"/>
    <w:rsid w:val="00BE5A59"/>
    <w:rsid w:val="00BE6475"/>
    <w:rsid w:val="00BE6FD5"/>
    <w:rsid w:val="00BF045E"/>
    <w:rsid w:val="00BF082C"/>
    <w:rsid w:val="00BF11B8"/>
    <w:rsid w:val="00BF1301"/>
    <w:rsid w:val="00BF1AFB"/>
    <w:rsid w:val="00BF1CFC"/>
    <w:rsid w:val="00BF22E7"/>
    <w:rsid w:val="00BF6039"/>
    <w:rsid w:val="00C0053E"/>
    <w:rsid w:val="00C029FA"/>
    <w:rsid w:val="00C03825"/>
    <w:rsid w:val="00C041BF"/>
    <w:rsid w:val="00C060AE"/>
    <w:rsid w:val="00C06E9F"/>
    <w:rsid w:val="00C077F5"/>
    <w:rsid w:val="00C10CB9"/>
    <w:rsid w:val="00C21D9F"/>
    <w:rsid w:val="00C2280A"/>
    <w:rsid w:val="00C22E0E"/>
    <w:rsid w:val="00C300B5"/>
    <w:rsid w:val="00C304EC"/>
    <w:rsid w:val="00C31E5E"/>
    <w:rsid w:val="00C329AF"/>
    <w:rsid w:val="00C34115"/>
    <w:rsid w:val="00C3436F"/>
    <w:rsid w:val="00C3507E"/>
    <w:rsid w:val="00C3562C"/>
    <w:rsid w:val="00C35CA3"/>
    <w:rsid w:val="00C373CB"/>
    <w:rsid w:val="00C376B8"/>
    <w:rsid w:val="00C41921"/>
    <w:rsid w:val="00C444F7"/>
    <w:rsid w:val="00C45060"/>
    <w:rsid w:val="00C4543D"/>
    <w:rsid w:val="00C47CAE"/>
    <w:rsid w:val="00C47E0A"/>
    <w:rsid w:val="00C5012C"/>
    <w:rsid w:val="00C505AC"/>
    <w:rsid w:val="00C51291"/>
    <w:rsid w:val="00C517B9"/>
    <w:rsid w:val="00C51C69"/>
    <w:rsid w:val="00C52F64"/>
    <w:rsid w:val="00C55C3D"/>
    <w:rsid w:val="00C62344"/>
    <w:rsid w:val="00C62787"/>
    <w:rsid w:val="00C641C1"/>
    <w:rsid w:val="00C658AD"/>
    <w:rsid w:val="00C65E79"/>
    <w:rsid w:val="00C6615D"/>
    <w:rsid w:val="00C671B6"/>
    <w:rsid w:val="00C67634"/>
    <w:rsid w:val="00C717E5"/>
    <w:rsid w:val="00C71C1A"/>
    <w:rsid w:val="00C73C51"/>
    <w:rsid w:val="00C7522D"/>
    <w:rsid w:val="00C7538A"/>
    <w:rsid w:val="00C76550"/>
    <w:rsid w:val="00C76AB1"/>
    <w:rsid w:val="00C80426"/>
    <w:rsid w:val="00C80896"/>
    <w:rsid w:val="00C80BE8"/>
    <w:rsid w:val="00C821B0"/>
    <w:rsid w:val="00C82F1D"/>
    <w:rsid w:val="00C875D0"/>
    <w:rsid w:val="00C9040C"/>
    <w:rsid w:val="00C90895"/>
    <w:rsid w:val="00C90CD2"/>
    <w:rsid w:val="00C90DB7"/>
    <w:rsid w:val="00C92700"/>
    <w:rsid w:val="00C92DE8"/>
    <w:rsid w:val="00C92E05"/>
    <w:rsid w:val="00C97645"/>
    <w:rsid w:val="00C97908"/>
    <w:rsid w:val="00CA289D"/>
    <w:rsid w:val="00CA41BA"/>
    <w:rsid w:val="00CA7321"/>
    <w:rsid w:val="00CA7B85"/>
    <w:rsid w:val="00CB0764"/>
    <w:rsid w:val="00CB0A35"/>
    <w:rsid w:val="00CB5B99"/>
    <w:rsid w:val="00CB7762"/>
    <w:rsid w:val="00CC314E"/>
    <w:rsid w:val="00CC3F80"/>
    <w:rsid w:val="00CC43E0"/>
    <w:rsid w:val="00CC6D89"/>
    <w:rsid w:val="00CC7391"/>
    <w:rsid w:val="00CD146E"/>
    <w:rsid w:val="00CD1A40"/>
    <w:rsid w:val="00CD4CE5"/>
    <w:rsid w:val="00CD5168"/>
    <w:rsid w:val="00CD726D"/>
    <w:rsid w:val="00CE0A05"/>
    <w:rsid w:val="00CE121D"/>
    <w:rsid w:val="00CE50AD"/>
    <w:rsid w:val="00CE6E78"/>
    <w:rsid w:val="00CE76D9"/>
    <w:rsid w:val="00CF242B"/>
    <w:rsid w:val="00CF2C1A"/>
    <w:rsid w:val="00CF4CFD"/>
    <w:rsid w:val="00CF58FE"/>
    <w:rsid w:val="00CF6052"/>
    <w:rsid w:val="00CF6772"/>
    <w:rsid w:val="00D00F74"/>
    <w:rsid w:val="00D1224A"/>
    <w:rsid w:val="00D1272F"/>
    <w:rsid w:val="00D1406D"/>
    <w:rsid w:val="00D14718"/>
    <w:rsid w:val="00D15200"/>
    <w:rsid w:val="00D165FE"/>
    <w:rsid w:val="00D1701F"/>
    <w:rsid w:val="00D2001B"/>
    <w:rsid w:val="00D20FD4"/>
    <w:rsid w:val="00D210FA"/>
    <w:rsid w:val="00D22B48"/>
    <w:rsid w:val="00D2639F"/>
    <w:rsid w:val="00D2657A"/>
    <w:rsid w:val="00D26C2E"/>
    <w:rsid w:val="00D27972"/>
    <w:rsid w:val="00D27B71"/>
    <w:rsid w:val="00D30352"/>
    <w:rsid w:val="00D32352"/>
    <w:rsid w:val="00D32370"/>
    <w:rsid w:val="00D332B5"/>
    <w:rsid w:val="00D34629"/>
    <w:rsid w:val="00D46613"/>
    <w:rsid w:val="00D50231"/>
    <w:rsid w:val="00D5063A"/>
    <w:rsid w:val="00D53491"/>
    <w:rsid w:val="00D556A7"/>
    <w:rsid w:val="00D559D7"/>
    <w:rsid w:val="00D5657E"/>
    <w:rsid w:val="00D607E9"/>
    <w:rsid w:val="00D641C5"/>
    <w:rsid w:val="00D6434A"/>
    <w:rsid w:val="00D65A1C"/>
    <w:rsid w:val="00D6693D"/>
    <w:rsid w:val="00D66AF9"/>
    <w:rsid w:val="00D679AF"/>
    <w:rsid w:val="00D72D2E"/>
    <w:rsid w:val="00D75EB5"/>
    <w:rsid w:val="00D770CA"/>
    <w:rsid w:val="00D8016B"/>
    <w:rsid w:val="00D8093D"/>
    <w:rsid w:val="00D829EF"/>
    <w:rsid w:val="00D85FAF"/>
    <w:rsid w:val="00D91B69"/>
    <w:rsid w:val="00D9280C"/>
    <w:rsid w:val="00D9351F"/>
    <w:rsid w:val="00D9365F"/>
    <w:rsid w:val="00D97341"/>
    <w:rsid w:val="00DA026B"/>
    <w:rsid w:val="00DA4339"/>
    <w:rsid w:val="00DA4943"/>
    <w:rsid w:val="00DA5621"/>
    <w:rsid w:val="00DA7143"/>
    <w:rsid w:val="00DA76B6"/>
    <w:rsid w:val="00DB0430"/>
    <w:rsid w:val="00DB1EF8"/>
    <w:rsid w:val="00DB211A"/>
    <w:rsid w:val="00DB3E3F"/>
    <w:rsid w:val="00DB49E9"/>
    <w:rsid w:val="00DB4B43"/>
    <w:rsid w:val="00DB4D86"/>
    <w:rsid w:val="00DB6445"/>
    <w:rsid w:val="00DB6F9C"/>
    <w:rsid w:val="00DC0B02"/>
    <w:rsid w:val="00DC355A"/>
    <w:rsid w:val="00DC3D08"/>
    <w:rsid w:val="00DC4A25"/>
    <w:rsid w:val="00DC5AD1"/>
    <w:rsid w:val="00DD3CAB"/>
    <w:rsid w:val="00DD4039"/>
    <w:rsid w:val="00DD5D0B"/>
    <w:rsid w:val="00DD6228"/>
    <w:rsid w:val="00DE2789"/>
    <w:rsid w:val="00DE5B92"/>
    <w:rsid w:val="00DE68AA"/>
    <w:rsid w:val="00DF1EC4"/>
    <w:rsid w:val="00DF2FB9"/>
    <w:rsid w:val="00DF38C4"/>
    <w:rsid w:val="00DF3A80"/>
    <w:rsid w:val="00DF3CBE"/>
    <w:rsid w:val="00DF6A78"/>
    <w:rsid w:val="00DF7A7B"/>
    <w:rsid w:val="00E0101E"/>
    <w:rsid w:val="00E026C2"/>
    <w:rsid w:val="00E06BBB"/>
    <w:rsid w:val="00E1093B"/>
    <w:rsid w:val="00E1097E"/>
    <w:rsid w:val="00E14B3C"/>
    <w:rsid w:val="00E175E5"/>
    <w:rsid w:val="00E178CE"/>
    <w:rsid w:val="00E17DB6"/>
    <w:rsid w:val="00E20A8E"/>
    <w:rsid w:val="00E270C2"/>
    <w:rsid w:val="00E316E4"/>
    <w:rsid w:val="00E32D5A"/>
    <w:rsid w:val="00E330DF"/>
    <w:rsid w:val="00E33C9F"/>
    <w:rsid w:val="00E43A6A"/>
    <w:rsid w:val="00E46207"/>
    <w:rsid w:val="00E473B3"/>
    <w:rsid w:val="00E51311"/>
    <w:rsid w:val="00E51DAE"/>
    <w:rsid w:val="00E51E33"/>
    <w:rsid w:val="00E5344A"/>
    <w:rsid w:val="00E54204"/>
    <w:rsid w:val="00E543ED"/>
    <w:rsid w:val="00E60222"/>
    <w:rsid w:val="00E60ADB"/>
    <w:rsid w:val="00E61CD3"/>
    <w:rsid w:val="00E66D11"/>
    <w:rsid w:val="00E675E1"/>
    <w:rsid w:val="00E6790C"/>
    <w:rsid w:val="00E67F42"/>
    <w:rsid w:val="00E71264"/>
    <w:rsid w:val="00E7248C"/>
    <w:rsid w:val="00E746D8"/>
    <w:rsid w:val="00E80A58"/>
    <w:rsid w:val="00E81DE0"/>
    <w:rsid w:val="00E8318B"/>
    <w:rsid w:val="00E85709"/>
    <w:rsid w:val="00E8594E"/>
    <w:rsid w:val="00E87C32"/>
    <w:rsid w:val="00E87FBE"/>
    <w:rsid w:val="00E91628"/>
    <w:rsid w:val="00E94153"/>
    <w:rsid w:val="00E95787"/>
    <w:rsid w:val="00E963E7"/>
    <w:rsid w:val="00E97726"/>
    <w:rsid w:val="00EA0665"/>
    <w:rsid w:val="00EA2C3D"/>
    <w:rsid w:val="00EA326D"/>
    <w:rsid w:val="00EA5A71"/>
    <w:rsid w:val="00EA72F3"/>
    <w:rsid w:val="00EB0E4A"/>
    <w:rsid w:val="00EB22A7"/>
    <w:rsid w:val="00EB3133"/>
    <w:rsid w:val="00EB51A5"/>
    <w:rsid w:val="00EB7188"/>
    <w:rsid w:val="00EB7EC5"/>
    <w:rsid w:val="00EC581D"/>
    <w:rsid w:val="00EC72AE"/>
    <w:rsid w:val="00EC779C"/>
    <w:rsid w:val="00EC78A1"/>
    <w:rsid w:val="00ED0CD7"/>
    <w:rsid w:val="00ED2564"/>
    <w:rsid w:val="00ED406E"/>
    <w:rsid w:val="00ED40D2"/>
    <w:rsid w:val="00ED552C"/>
    <w:rsid w:val="00ED6025"/>
    <w:rsid w:val="00ED6605"/>
    <w:rsid w:val="00ED6C93"/>
    <w:rsid w:val="00ED78B8"/>
    <w:rsid w:val="00ED78DF"/>
    <w:rsid w:val="00EE092A"/>
    <w:rsid w:val="00EE1C3F"/>
    <w:rsid w:val="00EE42F5"/>
    <w:rsid w:val="00EF4A66"/>
    <w:rsid w:val="00EF4D72"/>
    <w:rsid w:val="00EF6436"/>
    <w:rsid w:val="00EF64AB"/>
    <w:rsid w:val="00EF7271"/>
    <w:rsid w:val="00EF752A"/>
    <w:rsid w:val="00F02772"/>
    <w:rsid w:val="00F02A51"/>
    <w:rsid w:val="00F04697"/>
    <w:rsid w:val="00F04B1F"/>
    <w:rsid w:val="00F052F5"/>
    <w:rsid w:val="00F0547C"/>
    <w:rsid w:val="00F058A5"/>
    <w:rsid w:val="00F12448"/>
    <w:rsid w:val="00F13262"/>
    <w:rsid w:val="00F14B3E"/>
    <w:rsid w:val="00F14F64"/>
    <w:rsid w:val="00F17C6D"/>
    <w:rsid w:val="00F21C3C"/>
    <w:rsid w:val="00F23844"/>
    <w:rsid w:val="00F23F60"/>
    <w:rsid w:val="00F24732"/>
    <w:rsid w:val="00F25A00"/>
    <w:rsid w:val="00F2625B"/>
    <w:rsid w:val="00F26462"/>
    <w:rsid w:val="00F3226C"/>
    <w:rsid w:val="00F3433F"/>
    <w:rsid w:val="00F36083"/>
    <w:rsid w:val="00F378E8"/>
    <w:rsid w:val="00F4079C"/>
    <w:rsid w:val="00F41BF2"/>
    <w:rsid w:val="00F4300D"/>
    <w:rsid w:val="00F4444C"/>
    <w:rsid w:val="00F509B4"/>
    <w:rsid w:val="00F53FC8"/>
    <w:rsid w:val="00F559C2"/>
    <w:rsid w:val="00F57305"/>
    <w:rsid w:val="00F57F82"/>
    <w:rsid w:val="00F602B9"/>
    <w:rsid w:val="00F611B8"/>
    <w:rsid w:val="00F622BC"/>
    <w:rsid w:val="00F62E34"/>
    <w:rsid w:val="00F63370"/>
    <w:rsid w:val="00F63D14"/>
    <w:rsid w:val="00F67039"/>
    <w:rsid w:val="00F7083E"/>
    <w:rsid w:val="00F75463"/>
    <w:rsid w:val="00F763CD"/>
    <w:rsid w:val="00F83B7C"/>
    <w:rsid w:val="00F85851"/>
    <w:rsid w:val="00F870C5"/>
    <w:rsid w:val="00F878B2"/>
    <w:rsid w:val="00F907BB"/>
    <w:rsid w:val="00F912FF"/>
    <w:rsid w:val="00F93B9E"/>
    <w:rsid w:val="00F95DEA"/>
    <w:rsid w:val="00F95E9F"/>
    <w:rsid w:val="00F96767"/>
    <w:rsid w:val="00F96C44"/>
    <w:rsid w:val="00FA0EEB"/>
    <w:rsid w:val="00FA2903"/>
    <w:rsid w:val="00FA3105"/>
    <w:rsid w:val="00FA3D3E"/>
    <w:rsid w:val="00FA4F56"/>
    <w:rsid w:val="00FA6A9F"/>
    <w:rsid w:val="00FB0654"/>
    <w:rsid w:val="00FB0D6B"/>
    <w:rsid w:val="00FB1223"/>
    <w:rsid w:val="00FB18E8"/>
    <w:rsid w:val="00FB6167"/>
    <w:rsid w:val="00FB7C0B"/>
    <w:rsid w:val="00FC0F17"/>
    <w:rsid w:val="00FC21C8"/>
    <w:rsid w:val="00FC4B2C"/>
    <w:rsid w:val="00FC7AC0"/>
    <w:rsid w:val="00FD43E1"/>
    <w:rsid w:val="00FD619E"/>
    <w:rsid w:val="00FD6555"/>
    <w:rsid w:val="00FD679E"/>
    <w:rsid w:val="00FD6FA7"/>
    <w:rsid w:val="00FD74E2"/>
    <w:rsid w:val="00FE0504"/>
    <w:rsid w:val="00FE0DD1"/>
    <w:rsid w:val="00FE11F9"/>
    <w:rsid w:val="00FE2610"/>
    <w:rsid w:val="00FE26A1"/>
    <w:rsid w:val="00FE2DC6"/>
    <w:rsid w:val="00FE362A"/>
    <w:rsid w:val="00FE4E40"/>
    <w:rsid w:val="00FE4F9C"/>
    <w:rsid w:val="00FE5290"/>
    <w:rsid w:val="00FE694C"/>
    <w:rsid w:val="00FE766F"/>
    <w:rsid w:val="00FF17B6"/>
    <w:rsid w:val="00FF24E5"/>
    <w:rsid w:val="00FF2AA1"/>
    <w:rsid w:val="00FF407F"/>
    <w:rsid w:val="00FF5469"/>
    <w:rsid w:val="012F3ECF"/>
    <w:rsid w:val="022342FB"/>
    <w:rsid w:val="02875DD8"/>
    <w:rsid w:val="02893069"/>
    <w:rsid w:val="02FF25D9"/>
    <w:rsid w:val="032F3C6C"/>
    <w:rsid w:val="035A312B"/>
    <w:rsid w:val="03F74254"/>
    <w:rsid w:val="05544734"/>
    <w:rsid w:val="056A2C3E"/>
    <w:rsid w:val="05706444"/>
    <w:rsid w:val="05922E21"/>
    <w:rsid w:val="087B232B"/>
    <w:rsid w:val="099A3655"/>
    <w:rsid w:val="09C57834"/>
    <w:rsid w:val="0A054212"/>
    <w:rsid w:val="0A9223EA"/>
    <w:rsid w:val="0AD64546"/>
    <w:rsid w:val="0AED38AF"/>
    <w:rsid w:val="0B7A6527"/>
    <w:rsid w:val="0CA33159"/>
    <w:rsid w:val="0D5934BC"/>
    <w:rsid w:val="0DCC6954"/>
    <w:rsid w:val="0DDC7756"/>
    <w:rsid w:val="0DE40CAC"/>
    <w:rsid w:val="0DEE2F95"/>
    <w:rsid w:val="0E053036"/>
    <w:rsid w:val="0E582B72"/>
    <w:rsid w:val="0E660348"/>
    <w:rsid w:val="0E6E150C"/>
    <w:rsid w:val="0EB2067B"/>
    <w:rsid w:val="10B96AD6"/>
    <w:rsid w:val="10CC2198"/>
    <w:rsid w:val="117F3101"/>
    <w:rsid w:val="11B9535E"/>
    <w:rsid w:val="12A96DB7"/>
    <w:rsid w:val="13801697"/>
    <w:rsid w:val="13CC7471"/>
    <w:rsid w:val="143B3CBE"/>
    <w:rsid w:val="145A2C70"/>
    <w:rsid w:val="14765C5D"/>
    <w:rsid w:val="1518090E"/>
    <w:rsid w:val="155B3857"/>
    <w:rsid w:val="15D86D0E"/>
    <w:rsid w:val="169200CB"/>
    <w:rsid w:val="16A2699C"/>
    <w:rsid w:val="16EA31DA"/>
    <w:rsid w:val="17217D93"/>
    <w:rsid w:val="174201D2"/>
    <w:rsid w:val="17625E61"/>
    <w:rsid w:val="176B5374"/>
    <w:rsid w:val="17742B2F"/>
    <w:rsid w:val="18111639"/>
    <w:rsid w:val="19652586"/>
    <w:rsid w:val="196A2FF5"/>
    <w:rsid w:val="198F49D7"/>
    <w:rsid w:val="19A47457"/>
    <w:rsid w:val="19E4766D"/>
    <w:rsid w:val="1BB22438"/>
    <w:rsid w:val="1BB4696D"/>
    <w:rsid w:val="1BCE290B"/>
    <w:rsid w:val="1D4A692D"/>
    <w:rsid w:val="1DAA7A3B"/>
    <w:rsid w:val="1DB10A99"/>
    <w:rsid w:val="1E4A2378"/>
    <w:rsid w:val="1E853038"/>
    <w:rsid w:val="1E9C647C"/>
    <w:rsid w:val="1F3B0E58"/>
    <w:rsid w:val="1F4D5D86"/>
    <w:rsid w:val="1F87428F"/>
    <w:rsid w:val="1FA223B5"/>
    <w:rsid w:val="1FC0799B"/>
    <w:rsid w:val="20094524"/>
    <w:rsid w:val="20185E78"/>
    <w:rsid w:val="204F3917"/>
    <w:rsid w:val="20600F6F"/>
    <w:rsid w:val="2069125F"/>
    <w:rsid w:val="209E2CE6"/>
    <w:rsid w:val="21E143B8"/>
    <w:rsid w:val="21FA59DC"/>
    <w:rsid w:val="21FF56A2"/>
    <w:rsid w:val="227257A3"/>
    <w:rsid w:val="22A939D6"/>
    <w:rsid w:val="22E278FC"/>
    <w:rsid w:val="230C0851"/>
    <w:rsid w:val="2438427C"/>
    <w:rsid w:val="256B441C"/>
    <w:rsid w:val="260C290E"/>
    <w:rsid w:val="262A215B"/>
    <w:rsid w:val="263749C9"/>
    <w:rsid w:val="26B745AD"/>
    <w:rsid w:val="26F555BC"/>
    <w:rsid w:val="277045F6"/>
    <w:rsid w:val="27EC3057"/>
    <w:rsid w:val="28A662FA"/>
    <w:rsid w:val="28CE7FE4"/>
    <w:rsid w:val="28E45D80"/>
    <w:rsid w:val="2936440E"/>
    <w:rsid w:val="295F3622"/>
    <w:rsid w:val="296E1716"/>
    <w:rsid w:val="2BC27F8C"/>
    <w:rsid w:val="2C403725"/>
    <w:rsid w:val="2CAB250D"/>
    <w:rsid w:val="2D0B11FB"/>
    <w:rsid w:val="2D0D6B79"/>
    <w:rsid w:val="2DE87AE0"/>
    <w:rsid w:val="2EE95349"/>
    <w:rsid w:val="2F2A0F34"/>
    <w:rsid w:val="2F3A20EF"/>
    <w:rsid w:val="2FDC7E2B"/>
    <w:rsid w:val="30AD1A49"/>
    <w:rsid w:val="32DA45C0"/>
    <w:rsid w:val="34363922"/>
    <w:rsid w:val="353C1361"/>
    <w:rsid w:val="35835D77"/>
    <w:rsid w:val="360926EA"/>
    <w:rsid w:val="36640B45"/>
    <w:rsid w:val="36A1388E"/>
    <w:rsid w:val="36E5659E"/>
    <w:rsid w:val="371E1968"/>
    <w:rsid w:val="38C57F15"/>
    <w:rsid w:val="38CC6A27"/>
    <w:rsid w:val="39292657"/>
    <w:rsid w:val="398171EF"/>
    <w:rsid w:val="39947BE4"/>
    <w:rsid w:val="3A485A96"/>
    <w:rsid w:val="3A793112"/>
    <w:rsid w:val="3A806A90"/>
    <w:rsid w:val="3A8622BF"/>
    <w:rsid w:val="3A9F4148"/>
    <w:rsid w:val="3B9756CE"/>
    <w:rsid w:val="3C013E82"/>
    <w:rsid w:val="3C212E1A"/>
    <w:rsid w:val="3C343E1D"/>
    <w:rsid w:val="3C8537E1"/>
    <w:rsid w:val="3CB857F2"/>
    <w:rsid w:val="3D3F60CA"/>
    <w:rsid w:val="3D7B353D"/>
    <w:rsid w:val="3DC31EAC"/>
    <w:rsid w:val="3EAB3664"/>
    <w:rsid w:val="3F0621FB"/>
    <w:rsid w:val="3F140196"/>
    <w:rsid w:val="3F1B560C"/>
    <w:rsid w:val="3F2E3F5A"/>
    <w:rsid w:val="3F300AD0"/>
    <w:rsid w:val="3F717063"/>
    <w:rsid w:val="3F953661"/>
    <w:rsid w:val="3FB23FF4"/>
    <w:rsid w:val="3FBF3018"/>
    <w:rsid w:val="3FC2449D"/>
    <w:rsid w:val="40101372"/>
    <w:rsid w:val="40B7365F"/>
    <w:rsid w:val="415C0057"/>
    <w:rsid w:val="417D15C0"/>
    <w:rsid w:val="419172DD"/>
    <w:rsid w:val="41C04463"/>
    <w:rsid w:val="42190369"/>
    <w:rsid w:val="42A90C40"/>
    <w:rsid w:val="435652AC"/>
    <w:rsid w:val="445844A4"/>
    <w:rsid w:val="445C4530"/>
    <w:rsid w:val="447D099C"/>
    <w:rsid w:val="459D194F"/>
    <w:rsid w:val="464D1C41"/>
    <w:rsid w:val="471616DE"/>
    <w:rsid w:val="47580C41"/>
    <w:rsid w:val="47926B78"/>
    <w:rsid w:val="47B62E75"/>
    <w:rsid w:val="47EF4998"/>
    <w:rsid w:val="483734BC"/>
    <w:rsid w:val="483D48E8"/>
    <w:rsid w:val="48CE6E31"/>
    <w:rsid w:val="491A4D9F"/>
    <w:rsid w:val="49BC1EC2"/>
    <w:rsid w:val="4A312909"/>
    <w:rsid w:val="4B0E655E"/>
    <w:rsid w:val="4B4F67FC"/>
    <w:rsid w:val="4BF12D65"/>
    <w:rsid w:val="4CA059DB"/>
    <w:rsid w:val="4D054BB5"/>
    <w:rsid w:val="4D4E16C8"/>
    <w:rsid w:val="4DE77DC3"/>
    <w:rsid w:val="4E0A7E40"/>
    <w:rsid w:val="4E0C19F7"/>
    <w:rsid w:val="4FFE4410"/>
    <w:rsid w:val="501E53CF"/>
    <w:rsid w:val="50580696"/>
    <w:rsid w:val="51695775"/>
    <w:rsid w:val="52691C05"/>
    <w:rsid w:val="52972BF3"/>
    <w:rsid w:val="52F6550B"/>
    <w:rsid w:val="533205DE"/>
    <w:rsid w:val="536024C1"/>
    <w:rsid w:val="53766331"/>
    <w:rsid w:val="53B4033F"/>
    <w:rsid w:val="5696649E"/>
    <w:rsid w:val="56A37A16"/>
    <w:rsid w:val="56C933A5"/>
    <w:rsid w:val="56DD1AF5"/>
    <w:rsid w:val="56EA32A6"/>
    <w:rsid w:val="56EC1E26"/>
    <w:rsid w:val="574C6AC5"/>
    <w:rsid w:val="580D3681"/>
    <w:rsid w:val="58196585"/>
    <w:rsid w:val="58C96CB9"/>
    <w:rsid w:val="58DA0830"/>
    <w:rsid w:val="592742C9"/>
    <w:rsid w:val="59820C9F"/>
    <w:rsid w:val="59A767D5"/>
    <w:rsid w:val="5A245F1F"/>
    <w:rsid w:val="5A3153BE"/>
    <w:rsid w:val="5A8A4DE0"/>
    <w:rsid w:val="5A9619CE"/>
    <w:rsid w:val="5DF646E3"/>
    <w:rsid w:val="5F485BB2"/>
    <w:rsid w:val="5FFE6A23"/>
    <w:rsid w:val="60EA725E"/>
    <w:rsid w:val="610A1F0E"/>
    <w:rsid w:val="612B06A4"/>
    <w:rsid w:val="624F76A8"/>
    <w:rsid w:val="62734A11"/>
    <w:rsid w:val="62797319"/>
    <w:rsid w:val="63662320"/>
    <w:rsid w:val="64292C3A"/>
    <w:rsid w:val="64661A2F"/>
    <w:rsid w:val="64B455E9"/>
    <w:rsid w:val="64E41223"/>
    <w:rsid w:val="652C720D"/>
    <w:rsid w:val="65393CC2"/>
    <w:rsid w:val="654B53E7"/>
    <w:rsid w:val="65673D2D"/>
    <w:rsid w:val="65724F97"/>
    <w:rsid w:val="65E36EF1"/>
    <w:rsid w:val="66EE75E3"/>
    <w:rsid w:val="68602743"/>
    <w:rsid w:val="689607A8"/>
    <w:rsid w:val="68C3053B"/>
    <w:rsid w:val="69C667EC"/>
    <w:rsid w:val="6A0B0945"/>
    <w:rsid w:val="6A8C2E3E"/>
    <w:rsid w:val="6AA00E30"/>
    <w:rsid w:val="6AB77342"/>
    <w:rsid w:val="6B3E1EFE"/>
    <w:rsid w:val="6C0B7A0C"/>
    <w:rsid w:val="6C395827"/>
    <w:rsid w:val="6C405A87"/>
    <w:rsid w:val="6CA8656C"/>
    <w:rsid w:val="6D0131A3"/>
    <w:rsid w:val="6D557333"/>
    <w:rsid w:val="6DAB0354"/>
    <w:rsid w:val="6EE21062"/>
    <w:rsid w:val="6F192960"/>
    <w:rsid w:val="6F1D0515"/>
    <w:rsid w:val="6F643C6F"/>
    <w:rsid w:val="70026064"/>
    <w:rsid w:val="713C435C"/>
    <w:rsid w:val="71BD74CC"/>
    <w:rsid w:val="71CA242B"/>
    <w:rsid w:val="730C2A4A"/>
    <w:rsid w:val="747B0201"/>
    <w:rsid w:val="74B517E1"/>
    <w:rsid w:val="75024F20"/>
    <w:rsid w:val="752335E5"/>
    <w:rsid w:val="758D1A2D"/>
    <w:rsid w:val="75CE1F8F"/>
    <w:rsid w:val="75E21FE7"/>
    <w:rsid w:val="7744677A"/>
    <w:rsid w:val="77684821"/>
    <w:rsid w:val="77D866BD"/>
    <w:rsid w:val="781B00C9"/>
    <w:rsid w:val="783656FB"/>
    <w:rsid w:val="78777DFC"/>
    <w:rsid w:val="78A31DB7"/>
    <w:rsid w:val="78D14860"/>
    <w:rsid w:val="791D0C98"/>
    <w:rsid w:val="793E081A"/>
    <w:rsid w:val="79450F04"/>
    <w:rsid w:val="79A85021"/>
    <w:rsid w:val="79EA3DAF"/>
    <w:rsid w:val="79F008C5"/>
    <w:rsid w:val="7A810E73"/>
    <w:rsid w:val="7AD551A3"/>
    <w:rsid w:val="7AE67395"/>
    <w:rsid w:val="7B240FF7"/>
    <w:rsid w:val="7B933635"/>
    <w:rsid w:val="7BAE49B9"/>
    <w:rsid w:val="7BE402E5"/>
    <w:rsid w:val="7C25012C"/>
    <w:rsid w:val="7C49626D"/>
    <w:rsid w:val="7C755308"/>
    <w:rsid w:val="7D9516A4"/>
    <w:rsid w:val="7DE80FCD"/>
    <w:rsid w:val="7E344A86"/>
    <w:rsid w:val="7E3D77AD"/>
    <w:rsid w:val="7E886804"/>
    <w:rsid w:val="7EF96EDD"/>
    <w:rsid w:val="7F983F8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0"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imes New Roman" w:hAnsi="Times New Roman" w:eastAsia="SimSun" w:cs="Times New Roman"/>
      <w:sz w:val="24"/>
      <w:szCs w:val="24"/>
      <w:lang w:val="en-US" w:eastAsia="zh-TW" w:bidi="ar-SA"/>
    </w:rPr>
  </w:style>
  <w:style w:type="paragraph" w:styleId="2">
    <w:name w:val="heading 3"/>
    <w:next w:val="1"/>
    <w:semiHidden/>
    <w:unhideWhenUsed/>
    <w:qFormat/>
    <w:uiPriority w:val="9"/>
    <w:pPr>
      <w:spacing w:beforeAutospacing="1" w:afterAutospacing="1"/>
      <w:outlineLvl w:val="2"/>
    </w:pPr>
    <w:rPr>
      <w:rFonts w:hint="eastAsia" w:ascii="SimSun" w:hAnsi="SimSun" w:eastAsia="SimSun" w:cs="Times New Roman"/>
      <w:b/>
      <w:bCs/>
      <w:sz w:val="27"/>
      <w:szCs w:val="27"/>
      <w:lang w:val="en-US" w:eastAsia="zh-CN" w:bidi="ar-SA"/>
    </w:rPr>
  </w:style>
  <w:style w:type="paragraph" w:styleId="3">
    <w:name w:val="heading 4"/>
    <w:basedOn w:val="1"/>
    <w:next w:val="1"/>
    <w:link w:val="36"/>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4">
    <w:name w:val="heading 5"/>
    <w:basedOn w:val="1"/>
    <w:next w:val="1"/>
    <w:link w:val="34"/>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character" w:default="1" w:styleId="12">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29"/>
    <w:unhideWhenUsed/>
    <w:qFormat/>
    <w:uiPriority w:val="0"/>
    <w:pPr>
      <w:spacing w:after="0" w:line="240" w:lineRule="auto"/>
    </w:pPr>
    <w:rPr>
      <w:rFonts w:ascii="Tahoma" w:hAnsi="Tahoma" w:cs="Tahoma"/>
      <w:sz w:val="16"/>
      <w:szCs w:val="16"/>
    </w:rPr>
  </w:style>
  <w:style w:type="paragraph" w:styleId="6">
    <w:name w:val="annotation text"/>
    <w:basedOn w:val="1"/>
    <w:link w:val="31"/>
    <w:unhideWhenUsed/>
    <w:qFormat/>
    <w:uiPriority w:val="0"/>
    <w:pPr>
      <w:spacing w:line="240" w:lineRule="auto"/>
    </w:pPr>
    <w:rPr>
      <w:sz w:val="20"/>
      <w:szCs w:val="20"/>
    </w:rPr>
  </w:style>
  <w:style w:type="paragraph" w:styleId="7">
    <w:name w:val="annotation subject"/>
    <w:basedOn w:val="6"/>
    <w:next w:val="6"/>
    <w:link w:val="33"/>
    <w:semiHidden/>
    <w:unhideWhenUsed/>
    <w:qFormat/>
    <w:uiPriority w:val="0"/>
    <w:rPr>
      <w:b/>
      <w:bCs/>
    </w:rPr>
  </w:style>
  <w:style w:type="paragraph" w:styleId="8">
    <w:name w:val="footer"/>
    <w:basedOn w:val="1"/>
    <w:link w:val="32"/>
    <w:unhideWhenUsed/>
    <w:qFormat/>
    <w:uiPriority w:val="99"/>
    <w:pPr>
      <w:suppressLineNumbers/>
      <w:tabs>
        <w:tab w:val="center" w:pos="4513"/>
        <w:tab w:val="right" w:pos="9026"/>
      </w:tabs>
      <w:spacing w:after="0" w:line="100" w:lineRule="atLeast"/>
    </w:pPr>
  </w:style>
  <w:style w:type="paragraph" w:styleId="9">
    <w:name w:val="header"/>
    <w:basedOn w:val="1"/>
    <w:link w:val="30"/>
    <w:unhideWhenUsed/>
    <w:qFormat/>
    <w:uiPriority w:val="0"/>
    <w:pPr>
      <w:tabs>
        <w:tab w:val="center" w:pos="4680"/>
        <w:tab w:val="right" w:pos="9360"/>
      </w:tabs>
      <w:spacing w:after="0" w:line="240" w:lineRule="auto"/>
    </w:pPr>
  </w:style>
  <w:style w:type="paragraph" w:styleId="10">
    <w:name w:val="HTML Preformatted"/>
    <w:basedOn w:val="1"/>
    <w:link w:val="35"/>
    <w:semiHidden/>
    <w:unhideWhenUsed/>
    <w:qFormat/>
    <w:uiPriority w:val="0"/>
    <w:pPr>
      <w:spacing w:after="0" w:line="240" w:lineRule="auto"/>
    </w:pPr>
    <w:rPr>
      <w:rFonts w:ascii="Courier" w:hAnsi="Courier"/>
      <w:sz w:val="20"/>
      <w:szCs w:val="20"/>
    </w:rPr>
  </w:style>
  <w:style w:type="paragraph" w:styleId="11">
    <w:name w:val="Normal (Web)"/>
    <w:semiHidden/>
    <w:unhideWhenUsed/>
    <w:qFormat/>
    <w:uiPriority w:val="99"/>
    <w:pPr>
      <w:spacing w:beforeAutospacing="1" w:afterAutospacing="1"/>
    </w:pPr>
    <w:rPr>
      <w:rFonts w:ascii="Times New Roman" w:hAnsi="Times New Roman" w:eastAsia="SimSun" w:cs="Times New Roman"/>
      <w:sz w:val="24"/>
      <w:szCs w:val="24"/>
      <w:lang w:val="en-US" w:eastAsia="zh-CN" w:bidi="ar-SA"/>
    </w:rPr>
  </w:style>
  <w:style w:type="character" w:styleId="13">
    <w:name w:val="annotation reference"/>
    <w:basedOn w:val="12"/>
    <w:semiHidden/>
    <w:unhideWhenUsed/>
    <w:qFormat/>
    <w:uiPriority w:val="0"/>
    <w:rPr>
      <w:sz w:val="16"/>
      <w:szCs w:val="16"/>
    </w:rPr>
  </w:style>
  <w:style w:type="character" w:styleId="14">
    <w:name w:val="Emphasis"/>
    <w:basedOn w:val="12"/>
    <w:qFormat/>
    <w:uiPriority w:val="20"/>
    <w:rPr>
      <w:i/>
      <w:iCs/>
    </w:rPr>
  </w:style>
  <w:style w:type="character" w:styleId="15">
    <w:name w:val="FollowedHyperlink"/>
    <w:basedOn w:val="12"/>
    <w:semiHidden/>
    <w:unhideWhenUsed/>
    <w:qFormat/>
    <w:uiPriority w:val="0"/>
    <w:rPr>
      <w:color w:val="800080" w:themeColor="followedHyperlink"/>
      <w:u w:val="single"/>
      <w14:textFill>
        <w14:solidFill>
          <w14:schemeClr w14:val="folHlink"/>
        </w14:solidFill>
      </w14:textFill>
    </w:rPr>
  </w:style>
  <w:style w:type="character" w:styleId="16">
    <w:name w:val="Hyperlink"/>
    <w:qFormat/>
    <w:uiPriority w:val="0"/>
    <w:rPr>
      <w:rFonts w:ascii="Times New Roman" w:hAnsi="Times New Roman" w:eastAsia="PMingLiU"/>
      <w:color w:val="0000FF"/>
      <w:u w:val="single"/>
    </w:rPr>
  </w:style>
  <w:style w:type="table" w:styleId="18">
    <w:name w:val="Table Grid"/>
    <w:basedOn w:val="17"/>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9">
    <w:name w:val="List Paragraph1"/>
    <w:basedOn w:val="1"/>
    <w:qFormat/>
    <w:uiPriority w:val="34"/>
    <w:pPr>
      <w:ind w:left="720"/>
      <w:contextualSpacing/>
    </w:pPr>
  </w:style>
  <w:style w:type="paragraph" w:customStyle="1" w:styleId="20">
    <w:name w:val="Footnote"/>
    <w:basedOn w:val="21"/>
    <w:qFormat/>
    <w:uiPriority w:val="0"/>
    <w:pPr>
      <w:spacing w:before="120"/>
    </w:pPr>
    <w:rPr>
      <w:szCs w:val="14"/>
    </w:rPr>
  </w:style>
  <w:style w:type="paragraph" w:customStyle="1" w:styleId="21">
    <w:name w:val="Adress"/>
    <w:basedOn w:val="1"/>
    <w:qFormat/>
    <w:uiPriority w:val="0"/>
    <w:pPr>
      <w:spacing w:line="180" w:lineRule="exact"/>
      <w:ind w:left="425" w:hanging="425"/>
    </w:pPr>
    <w:rPr>
      <w:rFonts w:ascii="Arial" w:hAnsi="Arial"/>
      <w:sz w:val="14"/>
      <w:szCs w:val="20"/>
      <w:lang w:eastAsia="ja-JP"/>
    </w:rPr>
  </w:style>
  <w:style w:type="paragraph" w:customStyle="1" w:styleId="22">
    <w:name w:val="References"/>
    <w:basedOn w:val="1"/>
    <w:qFormat/>
    <w:uiPriority w:val="0"/>
    <w:pPr>
      <w:spacing w:line="200" w:lineRule="exact"/>
      <w:ind w:left="425" w:hanging="425"/>
      <w:jc w:val="both"/>
    </w:pPr>
    <w:rPr>
      <w:rFonts w:ascii="Arial" w:hAnsi="Arial"/>
      <w:sz w:val="14"/>
      <w:szCs w:val="14"/>
      <w:lang w:eastAsia="ja-JP"/>
    </w:rPr>
  </w:style>
  <w:style w:type="character" w:customStyle="1" w:styleId="23">
    <w:name w:val="apple-converted-space"/>
    <w:qFormat/>
    <w:uiPriority w:val="0"/>
    <w:rPr>
      <w:rFonts w:ascii="Times New Roman" w:hAnsi="Times New Roman" w:eastAsia="PMingLiU"/>
    </w:rPr>
  </w:style>
  <w:style w:type="character" w:customStyle="1" w:styleId="24">
    <w:name w:val="journalname"/>
    <w:qFormat/>
    <w:uiPriority w:val="0"/>
    <w:rPr>
      <w:rFonts w:ascii="Times New Roman" w:hAnsi="Times New Roman" w:eastAsia="PMingLiU"/>
    </w:rPr>
  </w:style>
  <w:style w:type="character" w:customStyle="1" w:styleId="25">
    <w:name w:val="b"/>
    <w:qFormat/>
    <w:uiPriority w:val="0"/>
    <w:rPr>
      <w:rFonts w:ascii="Times New Roman" w:hAnsi="Times New Roman" w:eastAsia="PMingLiU"/>
    </w:rPr>
  </w:style>
  <w:style w:type="character" w:customStyle="1" w:styleId="26">
    <w:name w:val="name"/>
    <w:qFormat/>
    <w:uiPriority w:val="0"/>
    <w:rPr>
      <w:rFonts w:ascii="Times New Roman" w:hAnsi="Times New Roman" w:eastAsia="PMingLiU"/>
    </w:rPr>
  </w:style>
  <w:style w:type="character" w:customStyle="1" w:styleId="27">
    <w:name w:val="slug-vol"/>
    <w:qFormat/>
    <w:uiPriority w:val="0"/>
    <w:rPr>
      <w:rFonts w:ascii="Times New Roman" w:hAnsi="Times New Roman" w:eastAsia="PMingLiU"/>
    </w:rPr>
  </w:style>
  <w:style w:type="character" w:customStyle="1" w:styleId="28">
    <w:name w:val="slug-pages"/>
    <w:qFormat/>
    <w:uiPriority w:val="0"/>
    <w:rPr>
      <w:rFonts w:ascii="Times New Roman" w:hAnsi="Times New Roman" w:eastAsia="PMingLiU"/>
    </w:rPr>
  </w:style>
  <w:style w:type="character" w:customStyle="1" w:styleId="29">
    <w:name w:val="Balloon Text Char"/>
    <w:link w:val="5"/>
    <w:semiHidden/>
    <w:qFormat/>
    <w:uiPriority w:val="0"/>
    <w:rPr>
      <w:rFonts w:ascii="Tahoma" w:hAnsi="Tahoma" w:cs="Tahoma"/>
      <w:sz w:val="16"/>
      <w:szCs w:val="16"/>
      <w:lang w:eastAsia="zh-TW"/>
    </w:rPr>
  </w:style>
  <w:style w:type="character" w:customStyle="1" w:styleId="30">
    <w:name w:val="Header Char"/>
    <w:basedOn w:val="12"/>
    <w:link w:val="9"/>
    <w:qFormat/>
    <w:uiPriority w:val="0"/>
    <w:rPr>
      <w:sz w:val="24"/>
      <w:szCs w:val="24"/>
      <w:lang w:eastAsia="zh-TW"/>
    </w:rPr>
  </w:style>
  <w:style w:type="character" w:customStyle="1" w:styleId="31">
    <w:name w:val="Comment Text Char"/>
    <w:basedOn w:val="12"/>
    <w:link w:val="6"/>
    <w:qFormat/>
    <w:uiPriority w:val="0"/>
    <w:rPr>
      <w:lang w:eastAsia="zh-TW"/>
    </w:rPr>
  </w:style>
  <w:style w:type="character" w:customStyle="1" w:styleId="32">
    <w:name w:val="Footer Char"/>
    <w:basedOn w:val="12"/>
    <w:link w:val="8"/>
    <w:qFormat/>
    <w:uiPriority w:val="99"/>
    <w:rPr>
      <w:sz w:val="24"/>
      <w:szCs w:val="24"/>
      <w:lang w:eastAsia="zh-TW"/>
    </w:rPr>
  </w:style>
  <w:style w:type="character" w:customStyle="1" w:styleId="33">
    <w:name w:val="Comment Subject Char"/>
    <w:basedOn w:val="31"/>
    <w:link w:val="7"/>
    <w:semiHidden/>
    <w:qFormat/>
    <w:uiPriority w:val="0"/>
    <w:rPr>
      <w:b/>
      <w:bCs/>
      <w:lang w:val="en-US" w:eastAsia="zh-TW"/>
    </w:rPr>
  </w:style>
  <w:style w:type="character" w:customStyle="1" w:styleId="34">
    <w:name w:val="Heading 5 Char"/>
    <w:basedOn w:val="12"/>
    <w:link w:val="4"/>
    <w:semiHidden/>
    <w:qFormat/>
    <w:uiPriority w:val="9"/>
    <w:rPr>
      <w:rFonts w:asciiTheme="majorHAnsi" w:hAnsiTheme="majorHAnsi" w:eastAsiaTheme="majorEastAsia" w:cstheme="majorBidi"/>
      <w:color w:val="254061" w:themeColor="accent1" w:themeShade="80"/>
      <w:sz w:val="24"/>
      <w:szCs w:val="24"/>
      <w:lang w:eastAsia="zh-TW"/>
    </w:rPr>
  </w:style>
  <w:style w:type="character" w:customStyle="1" w:styleId="35">
    <w:name w:val="HTML Preformatted Char"/>
    <w:basedOn w:val="12"/>
    <w:link w:val="10"/>
    <w:semiHidden/>
    <w:qFormat/>
    <w:uiPriority w:val="0"/>
    <w:rPr>
      <w:rFonts w:ascii="Courier" w:hAnsi="Courier"/>
      <w:lang w:eastAsia="zh-TW"/>
    </w:rPr>
  </w:style>
  <w:style w:type="character" w:customStyle="1" w:styleId="36">
    <w:name w:val="Heading 4 Char"/>
    <w:basedOn w:val="12"/>
    <w:link w:val="3"/>
    <w:semiHidden/>
    <w:qFormat/>
    <w:uiPriority w:val="9"/>
    <w:rPr>
      <w:rFonts w:asciiTheme="majorHAnsi" w:hAnsiTheme="majorHAnsi" w:eastAsiaTheme="majorEastAsia" w:cstheme="majorBidi"/>
      <w:b/>
      <w:bCs/>
      <w:i/>
      <w:iCs/>
      <w:color w:val="4F81BD" w:themeColor="accent1"/>
      <w:sz w:val="24"/>
      <w:szCs w:val="24"/>
      <w:lang w:eastAsia="zh-TW"/>
      <w14:textFill>
        <w14:solidFill>
          <w14:schemeClr w14:val="accent1"/>
        </w14:solidFill>
      </w14:textFill>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04FDFF1-28E8-8E40-BFE2-7BC29E9318EC}">
  <ds:schemaRefs/>
</ds:datastoreItem>
</file>

<file path=docProps/app.xml><?xml version="1.0" encoding="utf-8"?>
<Properties xmlns="http://schemas.openxmlformats.org/officeDocument/2006/extended-properties" xmlns:vt="http://schemas.openxmlformats.org/officeDocument/2006/docPropsVTypes">
  <Template>Normal.dotm</Template>
  <Company>MPG - FHI</Company>
  <Pages>25</Pages>
  <Words>8753</Words>
  <Characters>49896</Characters>
  <Lines>415</Lines>
  <Paragraphs>117</Paragraphs>
  <TotalTime>66</TotalTime>
  <ScaleCrop>false</ScaleCrop>
  <LinksUpToDate>false</LinksUpToDate>
  <CharactersWithSpaces>58532</CharactersWithSpaces>
  <Application>WPS Office_11.2.0.9747_F1E327BC-269C-435d-A152-05C5408002CA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2020-11-25T15:35:00Z</dcterms:created>
  <dc:creator>Juan Velasco Velez</dc:creator>
  <cp:lastModifiedBy>JuanJesus</cp:lastModifiedBy>
  <cp:lastPrinted>2020-11-24T14:19:00Z</cp:lastPrinted>
  <dcterms:modified xsi:type="dcterms:W3CDTF">2020-11-29T21:56:28Z</dcterms:modified>
  <dc:title>Carbon dioxide is a natural atmospheric component and it is needed by the plans in order to carry out the photosynthesis process which is used to convert light energy coming from the Sun into chemical energy. This energy is storage in form of carbohydrat</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1033-11.2.0.9747</vt:lpwstr>
  </property>
</Properties>
</file>