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353D" w14:textId="77777777" w:rsidR="003C27E7" w:rsidRDefault="004E07E6">
      <w:pPr>
        <w:spacing w:line="480" w:lineRule="auto"/>
        <w:jc w:val="left"/>
        <w:rPr>
          <w:rFonts w:ascii="Times New Roman" w:hAnsi="Times New Roman" w:cs="Times New Roman"/>
          <w:b/>
          <w:sz w:val="24"/>
          <w:szCs w:val="24"/>
        </w:rPr>
      </w:pPr>
      <w:r>
        <w:rPr>
          <w:rFonts w:ascii="Times New Roman" w:hAnsi="Times New Roman" w:cs="Times New Roman"/>
          <w:b/>
          <w:sz w:val="24"/>
          <w:szCs w:val="24"/>
        </w:rPr>
        <w:t>Supplement Material 1 – Definition of Respiratory Depression</w:t>
      </w:r>
    </w:p>
    <w:p w14:paraId="2B5068A9" w14:textId="77777777" w:rsidR="003C27E7" w:rsidRDefault="003C27E7">
      <w:pPr>
        <w:spacing w:line="480" w:lineRule="auto"/>
        <w:jc w:val="left"/>
        <w:rPr>
          <w:rFonts w:ascii="Times New Roman" w:hAnsi="Times New Roman" w:cs="Times New Roman"/>
          <w:sz w:val="24"/>
          <w:szCs w:val="24"/>
        </w:rPr>
      </w:pPr>
    </w:p>
    <w:p w14:paraId="46CBECD7"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Respiratory depression was defined as the presence of one or more of the following conditions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NE.Ref.{52D94839-6889-4003-9E30-5A76C85CDB33}</w:instrText>
      </w:r>
      <w:r>
        <w:rPr>
          <w:rFonts w:ascii="Times New Roman" w:hAnsi="Times New Roman" w:cs="Times New Roman"/>
          <w:sz w:val="24"/>
          <w:szCs w:val="24"/>
        </w:rPr>
        <w:fldChar w:fldCharType="end"/>
      </w:r>
      <w:r>
        <w:rPr>
          <w:rFonts w:ascii="Times New Roman" w:hAnsi="Times New Roman" w:cs="Times New Roman"/>
          <w:sz w:val="24"/>
          <w:szCs w:val="24"/>
        </w:rPr>
        <w:t>.</w:t>
      </w:r>
    </w:p>
    <w:p w14:paraId="1849DEF5" w14:textId="77777777" w:rsidR="003C27E7" w:rsidRDefault="003C27E7">
      <w:pPr>
        <w:spacing w:line="480" w:lineRule="auto"/>
        <w:jc w:val="left"/>
        <w:rPr>
          <w:rFonts w:ascii="Times New Roman" w:hAnsi="Times New Roman" w:cs="Times New Roman"/>
          <w:sz w:val="24"/>
          <w:szCs w:val="24"/>
        </w:rPr>
      </w:pPr>
    </w:p>
    <w:p w14:paraId="64FB113A" w14:textId="77777777" w:rsidR="003C27E7" w:rsidRDefault="004E07E6">
      <w:pPr>
        <w:spacing w:line="480" w:lineRule="auto"/>
        <w:jc w:val="left"/>
        <w:rPr>
          <w:rFonts w:ascii="Times New Roman" w:hAnsi="Times New Roman" w:cs="Times New Roman"/>
          <w:i/>
          <w:sz w:val="24"/>
          <w:szCs w:val="24"/>
        </w:rPr>
      </w:pPr>
      <w:r>
        <w:rPr>
          <w:rFonts w:ascii="Times New Roman" w:hAnsi="Times New Roman" w:cs="Times New Roman"/>
          <w:i/>
          <w:sz w:val="24"/>
          <w:szCs w:val="24"/>
        </w:rPr>
        <w:t>Hypercapnia caused by decreased oxygen saturation and/or hypoventilation</w:t>
      </w:r>
    </w:p>
    <w:p w14:paraId="0ED0CF11"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Decreased oxygen saturation referred to a decrease in finger pulse saturation that is not present before (for patients with baseline oxygen saturation [SpO</w:t>
      </w:r>
      <w:r>
        <w:rPr>
          <w:rFonts w:ascii="Times New Roman" w:hAnsi="Times New Roman" w:cs="Times New Roman"/>
          <w:sz w:val="24"/>
          <w:szCs w:val="24"/>
          <w:vertAlign w:val="subscript"/>
        </w:rPr>
        <w:t>2</w:t>
      </w:r>
      <w:r>
        <w:rPr>
          <w:rFonts w:ascii="Times New Roman" w:hAnsi="Times New Roman" w:cs="Times New Roman"/>
          <w:sz w:val="24"/>
          <w:szCs w:val="24"/>
        </w:rPr>
        <w:t>%] between 95% and 100%, SpO</w:t>
      </w:r>
      <w:r>
        <w:rPr>
          <w:rFonts w:ascii="Times New Roman" w:hAnsi="Times New Roman" w:cs="Times New Roman"/>
          <w:sz w:val="24"/>
          <w:szCs w:val="24"/>
          <w:vertAlign w:val="subscript"/>
        </w:rPr>
        <w:t>2</w:t>
      </w:r>
      <w:r>
        <w:rPr>
          <w:rFonts w:ascii="Times New Roman" w:hAnsi="Times New Roman" w:cs="Times New Roman"/>
          <w:sz w:val="24"/>
          <w:szCs w:val="24"/>
        </w:rPr>
        <w:t>% &lt;95% for 3 or more readings; and for patients with baseline SpO</w:t>
      </w:r>
      <w:r>
        <w:rPr>
          <w:rFonts w:ascii="Times New Roman" w:hAnsi="Times New Roman" w:cs="Times New Roman"/>
          <w:sz w:val="24"/>
          <w:szCs w:val="24"/>
          <w:vertAlign w:val="subscript"/>
        </w:rPr>
        <w:t>2</w:t>
      </w:r>
      <w:r>
        <w:rPr>
          <w:rFonts w:ascii="Times New Roman" w:hAnsi="Times New Roman" w:cs="Times New Roman"/>
          <w:sz w:val="24"/>
          <w:szCs w:val="24"/>
        </w:rPr>
        <w:t>% &lt;95%, SpO</w:t>
      </w:r>
      <w:r>
        <w:rPr>
          <w:rFonts w:ascii="Times New Roman" w:hAnsi="Times New Roman" w:cs="Times New Roman"/>
          <w:sz w:val="24"/>
          <w:szCs w:val="24"/>
          <w:vertAlign w:val="subscript"/>
        </w:rPr>
        <w:t>2</w:t>
      </w:r>
      <w:r>
        <w:rPr>
          <w:rFonts w:ascii="Times New Roman" w:hAnsi="Times New Roman" w:cs="Times New Roman"/>
          <w:sz w:val="24"/>
          <w:szCs w:val="24"/>
        </w:rPr>
        <w:t>% &lt;90% for 3 or more readings and/or one or more measures taken to increase oxygen saturation). Hypercapnia referred to PCO</w:t>
      </w:r>
      <w:r>
        <w:rPr>
          <w:rFonts w:ascii="Times New Roman" w:hAnsi="Times New Roman" w:cs="Times New Roman"/>
          <w:sz w:val="24"/>
          <w:szCs w:val="24"/>
          <w:vertAlign w:val="subscript"/>
        </w:rPr>
        <w:t>2</w:t>
      </w:r>
      <w:r>
        <w:rPr>
          <w:rFonts w:ascii="Times New Roman" w:hAnsi="Times New Roman" w:cs="Times New Roman"/>
          <w:sz w:val="24"/>
          <w:szCs w:val="24"/>
        </w:rPr>
        <w:t xml:space="preserve"> &gt;50 mmHg that was not present before, with one or more measures taken to reduce CO</w:t>
      </w:r>
      <w:r>
        <w:rPr>
          <w:rFonts w:ascii="Times New Roman" w:hAnsi="Times New Roman" w:cs="Times New Roman"/>
          <w:sz w:val="24"/>
          <w:szCs w:val="24"/>
          <w:vertAlign w:val="subscript"/>
        </w:rPr>
        <w:t>2</w:t>
      </w:r>
      <w:r>
        <w:rPr>
          <w:rFonts w:ascii="Times New Roman" w:hAnsi="Times New Roman" w:cs="Times New Roman"/>
          <w:sz w:val="24"/>
          <w:szCs w:val="24"/>
        </w:rPr>
        <w:t xml:space="preserve"> retention. Interventions included verbal or tactile stimulation, airway repositioning, sputum suction, increased oxygen delivery, nasopharyngeal/oropharyngeal airway assistance, positive pressure through mask without assisted ventilation, mask with assisted ventilation, tracheal intubation/tracheotomy, or advanced life support such as extracorporeal membrane oxygenation.</w:t>
      </w:r>
    </w:p>
    <w:p w14:paraId="2C16A9F5" w14:textId="77777777" w:rsidR="003C27E7" w:rsidRDefault="003C27E7">
      <w:pPr>
        <w:spacing w:line="480" w:lineRule="auto"/>
        <w:jc w:val="left"/>
        <w:rPr>
          <w:rFonts w:ascii="Times New Roman" w:hAnsi="Times New Roman" w:cs="Times New Roman"/>
          <w:sz w:val="24"/>
          <w:szCs w:val="24"/>
        </w:rPr>
      </w:pPr>
    </w:p>
    <w:p w14:paraId="7C82E7C1" w14:textId="77777777" w:rsidR="003C27E7" w:rsidRDefault="004E07E6">
      <w:pPr>
        <w:spacing w:line="480" w:lineRule="auto"/>
        <w:jc w:val="left"/>
        <w:rPr>
          <w:rFonts w:ascii="Times New Roman" w:hAnsi="Times New Roman" w:cs="Times New Roman"/>
          <w:i/>
          <w:sz w:val="24"/>
          <w:szCs w:val="24"/>
        </w:rPr>
      </w:pPr>
      <w:r>
        <w:rPr>
          <w:rFonts w:ascii="Times New Roman" w:hAnsi="Times New Roman" w:cs="Times New Roman"/>
          <w:i/>
          <w:sz w:val="24"/>
          <w:szCs w:val="24"/>
        </w:rPr>
        <w:t>Decreased respiratory rate</w:t>
      </w:r>
    </w:p>
    <w:p w14:paraId="4501C974"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Decreased respiratory rate was defined as a respiratory rate ≤10 times/min, with one or more measures taken to stimulate or assist ventilation. Interventions included verbal or tactile stimulation, airway repositioning, mask with assisted ventilation, or tracheal intubation/tracheotomy.</w:t>
      </w:r>
    </w:p>
    <w:p w14:paraId="709A482C" w14:textId="77777777" w:rsidR="003C27E7" w:rsidRDefault="003C27E7">
      <w:pPr>
        <w:spacing w:line="480" w:lineRule="auto"/>
        <w:jc w:val="left"/>
        <w:rPr>
          <w:rFonts w:ascii="Times New Roman" w:hAnsi="Times New Roman" w:cs="Times New Roman"/>
          <w:sz w:val="24"/>
          <w:szCs w:val="24"/>
        </w:rPr>
      </w:pPr>
    </w:p>
    <w:p w14:paraId="69CFA270" w14:textId="77777777" w:rsidR="003C27E7" w:rsidRDefault="004E07E6">
      <w:pPr>
        <w:spacing w:line="480" w:lineRule="auto"/>
        <w:jc w:val="left"/>
        <w:rPr>
          <w:rFonts w:ascii="Times New Roman" w:hAnsi="Times New Roman" w:cs="Times New Roman"/>
          <w:i/>
          <w:sz w:val="24"/>
          <w:szCs w:val="24"/>
        </w:rPr>
      </w:pPr>
      <w:r>
        <w:rPr>
          <w:rFonts w:ascii="Times New Roman" w:hAnsi="Times New Roman" w:cs="Times New Roman"/>
          <w:i/>
          <w:sz w:val="24"/>
          <w:szCs w:val="24"/>
        </w:rPr>
        <w:t>Apnea</w:t>
      </w:r>
    </w:p>
    <w:p w14:paraId="5D97969A"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Apnea was defined as cessation of or pause in breathing, with one or more interventions (the same as those used to improve respiratory rate) implemented to stimulate or assist ventilation.</w:t>
      </w:r>
    </w:p>
    <w:p w14:paraId="1B796BB6" w14:textId="77777777" w:rsidR="003C27E7" w:rsidRDefault="003C27E7">
      <w:pPr>
        <w:spacing w:line="480" w:lineRule="auto"/>
        <w:jc w:val="left"/>
        <w:rPr>
          <w:rFonts w:ascii="Times New Roman" w:hAnsi="Times New Roman" w:cs="Times New Roman"/>
          <w:sz w:val="24"/>
          <w:szCs w:val="24"/>
        </w:rPr>
      </w:pPr>
    </w:p>
    <w:p w14:paraId="1C25EFD3" w14:textId="77777777" w:rsidR="003C27E7" w:rsidRDefault="004E07E6">
      <w:pPr>
        <w:spacing w:line="480" w:lineRule="auto"/>
        <w:jc w:val="left"/>
        <w:rPr>
          <w:rFonts w:ascii="Times New Roman" w:hAnsi="Times New Roman" w:cs="Times New Roman"/>
          <w:i/>
          <w:sz w:val="24"/>
          <w:szCs w:val="24"/>
        </w:rPr>
      </w:pPr>
      <w:r>
        <w:rPr>
          <w:rFonts w:ascii="Times New Roman" w:hAnsi="Times New Roman" w:cs="Times New Roman"/>
          <w:i/>
          <w:sz w:val="24"/>
          <w:szCs w:val="24"/>
        </w:rPr>
        <w:t>Degree of respiratory depression</w:t>
      </w:r>
    </w:p>
    <w:p w14:paraId="766E28CC" w14:textId="77777777" w:rsidR="003C27E7" w:rsidRDefault="004E07E6">
      <w:pPr>
        <w:spacing w:line="480" w:lineRule="auto"/>
        <w:jc w:val="left"/>
        <w:rPr>
          <w:rFonts w:ascii="Times New Roman" w:hAnsi="Times New Roman" w:cs="Times New Roman"/>
          <w:sz w:val="24"/>
          <w:szCs w:val="24"/>
        </w:rPr>
        <w:sectPr w:rsidR="003C27E7">
          <w:type w:val="continuous"/>
          <w:pgSz w:w="11906" w:h="16838"/>
          <w:pgMar w:top="1440" w:right="1440" w:bottom="1440" w:left="1440" w:header="851" w:footer="992" w:gutter="0"/>
          <w:lnNumType w:countBy="1" w:restart="continuous"/>
          <w:cols w:space="425"/>
          <w:docGrid w:type="lines" w:linePitch="312"/>
        </w:sectPr>
      </w:pPr>
      <w:r>
        <w:rPr>
          <w:rFonts w:ascii="Times New Roman" w:hAnsi="Times New Roman" w:cs="Times New Roman"/>
          <w:sz w:val="24"/>
          <w:szCs w:val="24"/>
        </w:rPr>
        <w:t>Mild respiratory depression was defined as a respiratory depression event that was reversible only by verbal or tactile stimulation or routine nursing operations (eg, airway repositioning, sputum suction, oxygen supplementation, or increased delivery). Moderate respiratory depression was defined as reversible respiratory depression events requiring antagonistic drugs (eg, naloxone) to rescue or change the auxiliary ventilation mode (eg, changing the nasal tube to a mask or high-flow nasal cannula oxygen therapy). Severe respiratory depression was defined as the need for tracheal intubation, tracheotomy, or more advanced life support.</w:t>
      </w:r>
    </w:p>
    <w:p w14:paraId="7B200E52" w14:textId="77777777" w:rsidR="003C27E7" w:rsidRDefault="004E07E6">
      <w:pPr>
        <w:spacing w:line="480" w:lineRule="auto"/>
        <w:jc w:val="left"/>
        <w:rPr>
          <w:rFonts w:ascii="Times New Roman" w:hAnsi="Times New Roman" w:cs="Times New Roman"/>
          <w:b/>
          <w:sz w:val="24"/>
          <w:szCs w:val="24"/>
        </w:rPr>
      </w:pPr>
      <w:r>
        <w:rPr>
          <w:rFonts w:ascii="Times New Roman" w:hAnsi="Times New Roman" w:cs="Times New Roman"/>
          <w:b/>
          <w:sz w:val="24"/>
          <w:szCs w:val="24"/>
        </w:rPr>
        <w:lastRenderedPageBreak/>
        <w:t>Supplement Material 2 – Comparison of Different Analgesic Regimens Based on Fentanyl</w:t>
      </w:r>
    </w:p>
    <w:p w14:paraId="17D25581"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Of the 105 patients without postoperative mechanical ventilation in this study, 83 (79%) received a combination of a fentanyl-type drug (including fentanyl, remifentanil, and sufentanil) and propofol for analgesia and sedation during their intensive care unit (ICU) stay. Table 1 shows the total dose and duration of analgesic and sedative drugs during the ICU stay, length of stay in the ICU, hospitalization days, and respiratory depression events in the absence of mechanical ventilation. Patients treated with fentanyl–butorphanol had a </w:t>
      </w:r>
      <w:r>
        <w:rPr>
          <w:rFonts w:ascii="Times New Roman" w:hAnsi="Times New Roman" w:cs="Times New Roman"/>
          <w:sz w:val="24"/>
          <w:szCs w:val="24"/>
        </w:rPr>
        <w:lastRenderedPageBreak/>
        <w:t>significantly lower rate of respiratory depression (P&lt;0.05) than those treated with fentanyl alone, while no significant difference was observed between the fentanyl–hydromorphone group and the fentanyl–butorphanol or fentanyl-only group. There was no statistically significant difference in the degree of respiratory depression among the 3 groups (P=0.392).</w:t>
      </w:r>
    </w:p>
    <w:p w14:paraId="7B26F71F" w14:textId="77777777" w:rsidR="003C27E7" w:rsidRDefault="004E07E6">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Total dose and duration of analgesic and sedative drugs and length of hospital stay in different groups are shown in Table 2. The dose of analgesic drugs is expressed as 10 mg morphine equivalent dose (MED10) and differed significantly across groups (H=7.796, P=0.02). A posthoc analysis with Bonferroni correction showed that the total dose of analgesic drugs (expressed as MED10) differed significantly between the fentanyl and fentanyl–butorphanol groups (adjusted P=0.016). The distribution of fentanyl doses (expressed as MED10) differed significantly across groups (H=19.136, P&lt;0.001). The dose of fentanyl in the fentanyl group differed from that in the fentanyl–butorphanol group (adjusted P&lt;0.001) but was similar to that in the fentanyl–hydromorphone group (adjusted P=0.001). There were no significant differences in propofol dose across groups (H=3.483, P=0.175).</w:t>
      </w:r>
    </w:p>
    <w:p w14:paraId="20E3687C" w14:textId="77777777" w:rsidR="003C27E7" w:rsidRDefault="004E07E6">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The duration of analgesia treatment in each group differed significantly (H=9.604, P=0.008). After Bonferroni correction, the difference between the fentanyl and fentanyl–butorphanol groups was statistically significant (adjusted P=0.006). There were no significant differences in the duration of sedative treatment among groups (H=2.078, P=0.354).</w:t>
      </w:r>
    </w:p>
    <w:p w14:paraId="4F2C1937" w14:textId="77777777" w:rsidR="003C27E7" w:rsidRDefault="004E07E6">
      <w:pPr>
        <w:spacing w:line="480" w:lineRule="auto"/>
        <w:ind w:firstLine="720"/>
        <w:jc w:val="left"/>
        <w:rPr>
          <w:rFonts w:ascii="Times New Roman" w:hAnsi="Times New Roman" w:cs="Times New Roman"/>
          <w:sz w:val="24"/>
          <w:szCs w:val="24"/>
        </w:rPr>
        <w:sectPr w:rsidR="003C27E7">
          <w:type w:val="continuous"/>
          <w:pgSz w:w="11906" w:h="16838"/>
          <w:pgMar w:top="1440" w:right="1440" w:bottom="1440" w:left="1440" w:header="851" w:footer="992" w:gutter="0"/>
          <w:lnNumType w:countBy="1" w:restart="continuous"/>
          <w:cols w:space="425"/>
          <w:docGrid w:type="lines" w:linePitch="312"/>
        </w:sectPr>
      </w:pPr>
      <w:r>
        <w:rPr>
          <w:rFonts w:ascii="Times New Roman" w:hAnsi="Times New Roman" w:cs="Times New Roman"/>
          <w:sz w:val="24"/>
          <w:szCs w:val="24"/>
        </w:rPr>
        <w:t xml:space="preserve">The length of stay in the ICU differed significantly across groups (H=13.360, P=0.001). A posthoc comparison with Bonferroni correction revealed that length of ICU stay was longer in the fentanyl group than in the fentanyl–butorphanol group (adjusted P=0.002), and was shorter in the fentanyl–butorphanol group than in the fentanyl–hydromorphone </w:t>
      </w:r>
      <w:r>
        <w:rPr>
          <w:rFonts w:ascii="Times New Roman" w:hAnsi="Times New Roman" w:cs="Times New Roman"/>
          <w:sz w:val="24"/>
          <w:szCs w:val="24"/>
        </w:rPr>
        <w:lastRenderedPageBreak/>
        <w:t>group (adjusted P=0.015).</w:t>
      </w:r>
    </w:p>
    <w:p w14:paraId="69D02759" w14:textId="77777777" w:rsidR="003C27E7" w:rsidRDefault="004E07E6">
      <w:pPr>
        <w:spacing w:line="480" w:lineRule="auto"/>
        <w:jc w:val="left"/>
        <w:rPr>
          <w:rFonts w:ascii="Times New Roman" w:hAnsi="Times New Roman" w:cs="Times New Roman"/>
          <w:sz w:val="24"/>
          <w:szCs w:val="24"/>
        </w:rPr>
      </w:pPr>
      <w:r w:rsidRPr="006E4546">
        <w:rPr>
          <w:rFonts w:ascii="Times New Roman" w:hAnsi="Times New Roman" w:cs="Times New Roman"/>
          <w:b/>
          <w:bCs/>
          <w:sz w:val="24"/>
          <w:szCs w:val="24"/>
        </w:rPr>
        <w:lastRenderedPageBreak/>
        <w:t>Supplemental</w:t>
      </w:r>
      <w:r>
        <w:rPr>
          <w:rFonts w:ascii="Times New Roman" w:hAnsi="Times New Roman" w:cs="Times New Roman"/>
          <w:b/>
          <w:sz w:val="24"/>
          <w:szCs w:val="24"/>
        </w:rPr>
        <w:t xml:space="preserve"> Table 1.</w:t>
      </w:r>
      <w:r>
        <w:rPr>
          <w:rFonts w:ascii="Times New Roman" w:hAnsi="Times New Roman" w:cs="Times New Roman"/>
          <w:sz w:val="24"/>
          <w:szCs w:val="24"/>
        </w:rPr>
        <w:t xml:space="preserve"> Incidence of respiratory depression in different groups</w:t>
      </w:r>
    </w:p>
    <w:tbl>
      <w:tblPr>
        <w:tblStyle w:val="ad"/>
        <w:tblW w:w="44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5"/>
        <w:gridCol w:w="1417"/>
        <w:gridCol w:w="1417"/>
        <w:gridCol w:w="2880"/>
        <w:gridCol w:w="2880"/>
      </w:tblGrid>
      <w:tr w:rsidR="003C27E7" w14:paraId="6960593E" w14:textId="77777777">
        <w:trPr>
          <w:trHeight w:val="20"/>
        </w:trPr>
        <w:tc>
          <w:tcPr>
            <w:tcW w:w="1518" w:type="pct"/>
            <w:tcBorders>
              <w:top w:val="single" w:sz="4" w:space="0" w:color="auto"/>
              <w:bottom w:val="single" w:sz="4" w:space="0" w:color="auto"/>
            </w:tcBorders>
          </w:tcPr>
          <w:p w14:paraId="71826F66" w14:textId="77777777" w:rsidR="003C27E7" w:rsidRDefault="003C27E7">
            <w:pPr>
              <w:jc w:val="left"/>
              <w:rPr>
                <w:rFonts w:ascii="Times New Roman" w:hAnsi="Times New Roman" w:cs="Times New Roman"/>
                <w:sz w:val="24"/>
                <w:szCs w:val="24"/>
              </w:rPr>
            </w:pPr>
          </w:p>
        </w:tc>
        <w:tc>
          <w:tcPr>
            <w:tcW w:w="574" w:type="pct"/>
            <w:tcBorders>
              <w:top w:val="single" w:sz="4" w:space="0" w:color="auto"/>
              <w:bottom w:val="single" w:sz="4" w:space="0" w:color="auto"/>
            </w:tcBorders>
          </w:tcPr>
          <w:p w14:paraId="33F895BD"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Total</w:t>
            </w:r>
          </w:p>
          <w:p w14:paraId="62954CE6"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(n=87)</w:t>
            </w:r>
          </w:p>
        </w:tc>
        <w:tc>
          <w:tcPr>
            <w:tcW w:w="574" w:type="pct"/>
            <w:tcBorders>
              <w:top w:val="single" w:sz="4" w:space="0" w:color="auto"/>
              <w:bottom w:val="single" w:sz="4" w:space="0" w:color="auto"/>
            </w:tcBorders>
          </w:tcPr>
          <w:p w14:paraId="14B3FA36"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Fentanyl</w:t>
            </w:r>
            <w:r>
              <w:rPr>
                <w:rFonts w:ascii="Times New Roman" w:hAnsi="Times New Roman" w:cs="Times New Roman"/>
                <w:b/>
                <w:sz w:val="24"/>
                <w:szCs w:val="24"/>
              </w:rPr>
              <w:br/>
              <w:t>(n=32)</w:t>
            </w:r>
          </w:p>
        </w:tc>
        <w:tc>
          <w:tcPr>
            <w:tcW w:w="1167" w:type="pct"/>
            <w:tcBorders>
              <w:top w:val="single" w:sz="4" w:space="0" w:color="auto"/>
              <w:bottom w:val="single" w:sz="4" w:space="0" w:color="auto"/>
            </w:tcBorders>
          </w:tcPr>
          <w:p w14:paraId="5792973F"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Fentanyl–butorphanol</w:t>
            </w:r>
            <w:r>
              <w:rPr>
                <w:rFonts w:ascii="Times New Roman" w:hAnsi="Times New Roman" w:cs="Times New Roman"/>
                <w:b/>
                <w:sz w:val="24"/>
                <w:szCs w:val="24"/>
              </w:rPr>
              <w:br/>
              <w:t>(n=31)</w:t>
            </w:r>
          </w:p>
        </w:tc>
        <w:tc>
          <w:tcPr>
            <w:tcW w:w="1167" w:type="pct"/>
            <w:tcBorders>
              <w:top w:val="single" w:sz="4" w:space="0" w:color="auto"/>
              <w:bottom w:val="single" w:sz="4" w:space="0" w:color="auto"/>
            </w:tcBorders>
          </w:tcPr>
          <w:p w14:paraId="2DC13D7B"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Fentanyl–hydromorphone</w:t>
            </w:r>
            <w:r>
              <w:rPr>
                <w:rFonts w:ascii="Times New Roman" w:hAnsi="Times New Roman" w:cs="Times New Roman"/>
                <w:b/>
                <w:sz w:val="24"/>
                <w:szCs w:val="24"/>
              </w:rPr>
              <w:br/>
              <w:t>(n=24)</w:t>
            </w:r>
          </w:p>
        </w:tc>
      </w:tr>
      <w:tr w:rsidR="003C27E7" w14:paraId="4ED5CC49" w14:textId="77777777">
        <w:trPr>
          <w:trHeight w:val="20"/>
        </w:trPr>
        <w:tc>
          <w:tcPr>
            <w:tcW w:w="1518" w:type="pct"/>
            <w:tcBorders>
              <w:top w:val="single" w:sz="4" w:space="0" w:color="auto"/>
            </w:tcBorders>
          </w:tcPr>
          <w:p w14:paraId="304C9D41" w14:textId="77777777" w:rsidR="003C27E7" w:rsidRDefault="004E07E6">
            <w:pPr>
              <w:jc w:val="left"/>
              <w:rPr>
                <w:rFonts w:ascii="Times New Roman" w:hAnsi="Times New Roman" w:cs="Times New Roman"/>
                <w:sz w:val="24"/>
                <w:szCs w:val="24"/>
              </w:rPr>
            </w:pPr>
            <w:r>
              <w:rPr>
                <w:rFonts w:ascii="Times New Roman" w:hAnsi="Times New Roman" w:cs="Times New Roman"/>
                <w:sz w:val="24"/>
                <w:szCs w:val="24"/>
              </w:rPr>
              <w:t>Respiratory depression</w:t>
            </w:r>
          </w:p>
        </w:tc>
        <w:tc>
          <w:tcPr>
            <w:tcW w:w="574" w:type="pct"/>
            <w:tcBorders>
              <w:top w:val="single" w:sz="4" w:space="0" w:color="auto"/>
            </w:tcBorders>
          </w:tcPr>
          <w:p w14:paraId="06399884" w14:textId="77777777" w:rsidR="003C27E7" w:rsidRDefault="003C27E7">
            <w:pPr>
              <w:ind w:left="246"/>
              <w:jc w:val="left"/>
              <w:rPr>
                <w:rFonts w:ascii="Times New Roman" w:hAnsi="Times New Roman" w:cs="Times New Roman"/>
                <w:sz w:val="24"/>
                <w:szCs w:val="24"/>
              </w:rPr>
            </w:pPr>
          </w:p>
        </w:tc>
        <w:tc>
          <w:tcPr>
            <w:tcW w:w="574" w:type="pct"/>
            <w:tcBorders>
              <w:top w:val="single" w:sz="4" w:space="0" w:color="auto"/>
            </w:tcBorders>
          </w:tcPr>
          <w:p w14:paraId="6A9CA185" w14:textId="77777777" w:rsidR="003C27E7" w:rsidRDefault="003C27E7">
            <w:pPr>
              <w:ind w:left="248"/>
              <w:jc w:val="left"/>
              <w:rPr>
                <w:rFonts w:ascii="Times New Roman" w:hAnsi="Times New Roman" w:cs="Times New Roman"/>
                <w:sz w:val="24"/>
                <w:szCs w:val="24"/>
              </w:rPr>
            </w:pPr>
          </w:p>
        </w:tc>
        <w:tc>
          <w:tcPr>
            <w:tcW w:w="1167" w:type="pct"/>
            <w:tcBorders>
              <w:top w:val="single" w:sz="4" w:space="0" w:color="auto"/>
            </w:tcBorders>
          </w:tcPr>
          <w:p w14:paraId="15ED538B" w14:textId="77777777" w:rsidR="003C27E7" w:rsidRDefault="003C27E7">
            <w:pPr>
              <w:ind w:left="970"/>
              <w:jc w:val="left"/>
              <w:rPr>
                <w:rFonts w:ascii="Times New Roman" w:hAnsi="Times New Roman" w:cs="Times New Roman"/>
                <w:sz w:val="24"/>
                <w:szCs w:val="24"/>
              </w:rPr>
            </w:pPr>
          </w:p>
        </w:tc>
        <w:tc>
          <w:tcPr>
            <w:tcW w:w="1167" w:type="pct"/>
            <w:tcBorders>
              <w:top w:val="single" w:sz="4" w:space="0" w:color="auto"/>
            </w:tcBorders>
          </w:tcPr>
          <w:p w14:paraId="4CAAC85F" w14:textId="77777777" w:rsidR="003C27E7" w:rsidRDefault="003C27E7">
            <w:pPr>
              <w:ind w:left="1015"/>
              <w:jc w:val="left"/>
              <w:rPr>
                <w:rFonts w:ascii="Times New Roman" w:hAnsi="Times New Roman" w:cs="Times New Roman"/>
                <w:sz w:val="24"/>
                <w:szCs w:val="24"/>
              </w:rPr>
            </w:pPr>
          </w:p>
        </w:tc>
      </w:tr>
      <w:tr w:rsidR="003C27E7" w14:paraId="04C415DC" w14:textId="77777777">
        <w:trPr>
          <w:trHeight w:val="20"/>
        </w:trPr>
        <w:tc>
          <w:tcPr>
            <w:tcW w:w="1518" w:type="pct"/>
          </w:tcPr>
          <w:p w14:paraId="7B0AFC4F"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No</w:t>
            </w:r>
          </w:p>
        </w:tc>
        <w:tc>
          <w:tcPr>
            <w:tcW w:w="574" w:type="pct"/>
          </w:tcPr>
          <w:p w14:paraId="6F7E6333" w14:textId="77777777" w:rsidR="003C27E7" w:rsidRDefault="004E07E6">
            <w:pPr>
              <w:ind w:left="246"/>
              <w:jc w:val="left"/>
              <w:rPr>
                <w:rFonts w:ascii="Times New Roman" w:hAnsi="Times New Roman" w:cs="Times New Roman"/>
                <w:sz w:val="24"/>
                <w:szCs w:val="24"/>
              </w:rPr>
            </w:pPr>
            <w:r>
              <w:rPr>
                <w:rFonts w:ascii="Times New Roman" w:hAnsi="Times New Roman" w:cs="Times New Roman"/>
                <w:sz w:val="24"/>
                <w:szCs w:val="24"/>
              </w:rPr>
              <w:t>48 (55)</w:t>
            </w:r>
          </w:p>
        </w:tc>
        <w:tc>
          <w:tcPr>
            <w:tcW w:w="574" w:type="pct"/>
          </w:tcPr>
          <w:p w14:paraId="5EB08925" w14:textId="77777777" w:rsidR="003C27E7" w:rsidRDefault="004E07E6">
            <w:pPr>
              <w:ind w:left="248"/>
              <w:jc w:val="left"/>
              <w:rPr>
                <w:rFonts w:ascii="Times New Roman" w:hAnsi="Times New Roman" w:cs="Times New Roman"/>
                <w:sz w:val="24"/>
                <w:szCs w:val="24"/>
              </w:rPr>
            </w:pPr>
            <w:r>
              <w:rPr>
                <w:rFonts w:ascii="Times New Roman" w:hAnsi="Times New Roman" w:cs="Times New Roman"/>
                <w:sz w:val="24"/>
                <w:szCs w:val="24"/>
              </w:rPr>
              <w:t>12 (38)</w:t>
            </w:r>
            <w:r w:rsidRPr="006E4546">
              <w:rPr>
                <w:rFonts w:ascii="Times New Roman" w:hAnsi="Times New Roman" w:cs="Times New Roman"/>
                <w:sz w:val="24"/>
                <w:szCs w:val="24"/>
                <w:vertAlign w:val="superscript"/>
              </w:rPr>
              <w:t xml:space="preserve"> *</w:t>
            </w:r>
          </w:p>
        </w:tc>
        <w:tc>
          <w:tcPr>
            <w:tcW w:w="1167" w:type="pct"/>
          </w:tcPr>
          <w:p w14:paraId="358A46C1" w14:textId="77777777" w:rsidR="003C27E7" w:rsidRDefault="004E07E6">
            <w:pPr>
              <w:ind w:left="970"/>
              <w:jc w:val="left"/>
              <w:rPr>
                <w:rFonts w:ascii="Times New Roman" w:hAnsi="Times New Roman" w:cs="Times New Roman"/>
                <w:sz w:val="24"/>
                <w:szCs w:val="24"/>
              </w:rPr>
            </w:pPr>
            <w:r>
              <w:rPr>
                <w:rFonts w:ascii="Times New Roman" w:hAnsi="Times New Roman" w:cs="Times New Roman"/>
                <w:sz w:val="24"/>
                <w:szCs w:val="24"/>
              </w:rPr>
              <w:t>21 (68)</w:t>
            </w:r>
          </w:p>
        </w:tc>
        <w:tc>
          <w:tcPr>
            <w:tcW w:w="1167" w:type="pct"/>
          </w:tcPr>
          <w:p w14:paraId="14C92CB0" w14:textId="77777777" w:rsidR="003C27E7" w:rsidRDefault="004E07E6">
            <w:pPr>
              <w:ind w:left="1015"/>
              <w:jc w:val="left"/>
              <w:rPr>
                <w:rFonts w:ascii="Times New Roman" w:hAnsi="Times New Roman" w:cs="Times New Roman"/>
                <w:sz w:val="24"/>
                <w:szCs w:val="24"/>
              </w:rPr>
            </w:pPr>
            <w:r>
              <w:rPr>
                <w:rFonts w:ascii="Times New Roman" w:hAnsi="Times New Roman" w:cs="Times New Roman"/>
                <w:sz w:val="24"/>
                <w:szCs w:val="24"/>
              </w:rPr>
              <w:t>15 (63)</w:t>
            </w:r>
          </w:p>
        </w:tc>
      </w:tr>
      <w:tr w:rsidR="003C27E7" w14:paraId="341BF0FA" w14:textId="77777777">
        <w:trPr>
          <w:trHeight w:val="20"/>
        </w:trPr>
        <w:tc>
          <w:tcPr>
            <w:tcW w:w="1518" w:type="pct"/>
          </w:tcPr>
          <w:p w14:paraId="71875C0E"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Yes</w:t>
            </w:r>
          </w:p>
        </w:tc>
        <w:tc>
          <w:tcPr>
            <w:tcW w:w="574" w:type="pct"/>
          </w:tcPr>
          <w:p w14:paraId="70E37BB2" w14:textId="77777777" w:rsidR="003C27E7" w:rsidRDefault="004E07E6">
            <w:pPr>
              <w:ind w:left="246"/>
              <w:jc w:val="left"/>
              <w:rPr>
                <w:rFonts w:ascii="Times New Roman" w:hAnsi="Times New Roman" w:cs="Times New Roman"/>
                <w:sz w:val="24"/>
                <w:szCs w:val="24"/>
              </w:rPr>
            </w:pPr>
            <w:r>
              <w:rPr>
                <w:rFonts w:ascii="Times New Roman" w:hAnsi="Times New Roman" w:cs="Times New Roman"/>
                <w:sz w:val="24"/>
                <w:szCs w:val="24"/>
              </w:rPr>
              <w:t>39 (45)</w:t>
            </w:r>
          </w:p>
        </w:tc>
        <w:tc>
          <w:tcPr>
            <w:tcW w:w="574" w:type="pct"/>
          </w:tcPr>
          <w:p w14:paraId="620D4A2E" w14:textId="77777777" w:rsidR="003C27E7" w:rsidRDefault="004E07E6">
            <w:pPr>
              <w:ind w:left="248"/>
              <w:jc w:val="left"/>
              <w:rPr>
                <w:rFonts w:ascii="Times New Roman" w:hAnsi="Times New Roman" w:cs="Times New Roman"/>
                <w:sz w:val="24"/>
                <w:szCs w:val="24"/>
              </w:rPr>
            </w:pPr>
            <w:r>
              <w:rPr>
                <w:rFonts w:ascii="Times New Roman" w:hAnsi="Times New Roman" w:cs="Times New Roman"/>
                <w:sz w:val="24"/>
                <w:szCs w:val="24"/>
              </w:rPr>
              <w:t>20 (62)</w:t>
            </w:r>
            <w:r w:rsidRPr="006E4546">
              <w:rPr>
                <w:rFonts w:ascii="Times New Roman" w:hAnsi="Times New Roman" w:cs="Times New Roman"/>
                <w:sz w:val="24"/>
                <w:szCs w:val="24"/>
                <w:vertAlign w:val="superscript"/>
              </w:rPr>
              <w:t xml:space="preserve"> *</w:t>
            </w:r>
          </w:p>
        </w:tc>
        <w:tc>
          <w:tcPr>
            <w:tcW w:w="1167" w:type="pct"/>
          </w:tcPr>
          <w:p w14:paraId="32E3C3EB" w14:textId="77777777" w:rsidR="003C27E7" w:rsidRDefault="004E07E6">
            <w:pPr>
              <w:ind w:left="970"/>
              <w:jc w:val="left"/>
              <w:rPr>
                <w:rFonts w:ascii="Times New Roman" w:hAnsi="Times New Roman" w:cs="Times New Roman"/>
                <w:sz w:val="24"/>
                <w:szCs w:val="24"/>
              </w:rPr>
            </w:pPr>
            <w:r>
              <w:rPr>
                <w:rFonts w:ascii="Times New Roman" w:hAnsi="Times New Roman" w:cs="Times New Roman"/>
                <w:sz w:val="24"/>
                <w:szCs w:val="24"/>
              </w:rPr>
              <w:t>10 (32)</w:t>
            </w:r>
          </w:p>
        </w:tc>
        <w:tc>
          <w:tcPr>
            <w:tcW w:w="1167" w:type="pct"/>
          </w:tcPr>
          <w:p w14:paraId="66DFD5DA" w14:textId="77777777" w:rsidR="003C27E7" w:rsidRDefault="004E07E6">
            <w:pPr>
              <w:ind w:left="1015"/>
              <w:jc w:val="left"/>
              <w:rPr>
                <w:rFonts w:ascii="Times New Roman" w:hAnsi="Times New Roman" w:cs="Times New Roman"/>
                <w:sz w:val="24"/>
                <w:szCs w:val="24"/>
              </w:rPr>
            </w:pPr>
            <w:r>
              <w:rPr>
                <w:rFonts w:ascii="Times New Roman" w:hAnsi="Times New Roman" w:cs="Times New Roman"/>
                <w:sz w:val="24"/>
                <w:szCs w:val="24"/>
              </w:rPr>
              <w:t>9 (37)</w:t>
            </w:r>
          </w:p>
        </w:tc>
      </w:tr>
      <w:tr w:rsidR="003C27E7" w14:paraId="4DF665AD" w14:textId="77777777">
        <w:trPr>
          <w:trHeight w:val="20"/>
        </w:trPr>
        <w:tc>
          <w:tcPr>
            <w:tcW w:w="1518" w:type="pct"/>
          </w:tcPr>
          <w:p w14:paraId="2EF86610" w14:textId="77777777" w:rsidR="003C27E7" w:rsidRDefault="004E07E6">
            <w:pPr>
              <w:jc w:val="left"/>
              <w:rPr>
                <w:rFonts w:ascii="Times New Roman" w:hAnsi="Times New Roman" w:cs="Times New Roman"/>
                <w:sz w:val="24"/>
                <w:szCs w:val="24"/>
              </w:rPr>
            </w:pPr>
            <w:r>
              <w:rPr>
                <w:rFonts w:ascii="Times New Roman" w:hAnsi="Times New Roman" w:cs="Times New Roman"/>
                <w:sz w:val="24"/>
                <w:szCs w:val="24"/>
              </w:rPr>
              <w:t>Degree of respiratory depression</w:t>
            </w:r>
          </w:p>
        </w:tc>
        <w:tc>
          <w:tcPr>
            <w:tcW w:w="574" w:type="pct"/>
          </w:tcPr>
          <w:p w14:paraId="0A7032FB" w14:textId="77777777" w:rsidR="003C27E7" w:rsidRDefault="003C27E7">
            <w:pPr>
              <w:ind w:left="246"/>
              <w:jc w:val="left"/>
              <w:rPr>
                <w:rFonts w:ascii="Times New Roman" w:hAnsi="Times New Roman" w:cs="Times New Roman"/>
                <w:sz w:val="24"/>
                <w:szCs w:val="24"/>
              </w:rPr>
            </w:pPr>
          </w:p>
        </w:tc>
        <w:tc>
          <w:tcPr>
            <w:tcW w:w="574" w:type="pct"/>
          </w:tcPr>
          <w:p w14:paraId="0D607F62" w14:textId="77777777" w:rsidR="003C27E7" w:rsidRDefault="003C27E7">
            <w:pPr>
              <w:ind w:left="248"/>
              <w:jc w:val="left"/>
              <w:rPr>
                <w:rFonts w:ascii="Times New Roman" w:hAnsi="Times New Roman" w:cs="Times New Roman"/>
                <w:sz w:val="24"/>
                <w:szCs w:val="24"/>
              </w:rPr>
            </w:pPr>
          </w:p>
        </w:tc>
        <w:tc>
          <w:tcPr>
            <w:tcW w:w="1167" w:type="pct"/>
          </w:tcPr>
          <w:p w14:paraId="4A038EEB" w14:textId="77777777" w:rsidR="003C27E7" w:rsidRDefault="003C27E7">
            <w:pPr>
              <w:ind w:left="970"/>
              <w:jc w:val="left"/>
              <w:rPr>
                <w:rFonts w:ascii="Times New Roman" w:hAnsi="Times New Roman" w:cs="Times New Roman"/>
                <w:sz w:val="24"/>
                <w:szCs w:val="24"/>
              </w:rPr>
            </w:pPr>
          </w:p>
        </w:tc>
        <w:tc>
          <w:tcPr>
            <w:tcW w:w="1167" w:type="pct"/>
          </w:tcPr>
          <w:p w14:paraId="058EAFAE" w14:textId="77777777" w:rsidR="003C27E7" w:rsidRDefault="003C27E7">
            <w:pPr>
              <w:ind w:left="1015"/>
              <w:jc w:val="left"/>
              <w:rPr>
                <w:rFonts w:ascii="Times New Roman" w:hAnsi="Times New Roman" w:cs="Times New Roman"/>
                <w:sz w:val="24"/>
                <w:szCs w:val="24"/>
              </w:rPr>
            </w:pPr>
          </w:p>
        </w:tc>
      </w:tr>
      <w:tr w:rsidR="003C27E7" w14:paraId="5661615D" w14:textId="77777777">
        <w:trPr>
          <w:trHeight w:val="20"/>
        </w:trPr>
        <w:tc>
          <w:tcPr>
            <w:tcW w:w="1518" w:type="pct"/>
          </w:tcPr>
          <w:p w14:paraId="00A771EC"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Mild</w:t>
            </w:r>
          </w:p>
        </w:tc>
        <w:tc>
          <w:tcPr>
            <w:tcW w:w="574" w:type="pct"/>
          </w:tcPr>
          <w:p w14:paraId="32CA1692" w14:textId="77777777" w:rsidR="003C27E7" w:rsidRDefault="004E07E6">
            <w:pPr>
              <w:ind w:left="246"/>
              <w:jc w:val="left"/>
              <w:rPr>
                <w:rFonts w:ascii="Times New Roman" w:hAnsi="Times New Roman" w:cs="Times New Roman"/>
                <w:sz w:val="24"/>
                <w:szCs w:val="24"/>
              </w:rPr>
            </w:pPr>
            <w:r>
              <w:rPr>
                <w:rFonts w:ascii="Times New Roman" w:hAnsi="Times New Roman" w:cs="Times New Roman"/>
                <w:sz w:val="24"/>
                <w:szCs w:val="24"/>
              </w:rPr>
              <w:t>20 (23)</w:t>
            </w:r>
          </w:p>
        </w:tc>
        <w:tc>
          <w:tcPr>
            <w:tcW w:w="574" w:type="pct"/>
          </w:tcPr>
          <w:p w14:paraId="0DD09C7C" w14:textId="77777777" w:rsidR="003C27E7" w:rsidRDefault="004E07E6">
            <w:pPr>
              <w:ind w:left="248"/>
              <w:jc w:val="left"/>
              <w:rPr>
                <w:rFonts w:ascii="Times New Roman" w:hAnsi="Times New Roman" w:cs="Times New Roman"/>
                <w:sz w:val="24"/>
                <w:szCs w:val="24"/>
              </w:rPr>
            </w:pPr>
            <w:r>
              <w:rPr>
                <w:rFonts w:ascii="Times New Roman" w:hAnsi="Times New Roman" w:cs="Times New Roman"/>
                <w:sz w:val="24"/>
                <w:szCs w:val="24"/>
              </w:rPr>
              <w:t>11 (34)</w:t>
            </w:r>
          </w:p>
        </w:tc>
        <w:tc>
          <w:tcPr>
            <w:tcW w:w="1167" w:type="pct"/>
          </w:tcPr>
          <w:p w14:paraId="170FFDEE" w14:textId="77777777" w:rsidR="003C27E7" w:rsidRDefault="004E07E6">
            <w:pPr>
              <w:ind w:left="970"/>
              <w:jc w:val="left"/>
              <w:rPr>
                <w:rFonts w:ascii="Times New Roman" w:hAnsi="Times New Roman" w:cs="Times New Roman"/>
                <w:sz w:val="24"/>
                <w:szCs w:val="24"/>
              </w:rPr>
            </w:pPr>
            <w:r>
              <w:rPr>
                <w:rFonts w:ascii="Times New Roman" w:hAnsi="Times New Roman" w:cs="Times New Roman"/>
                <w:sz w:val="24"/>
                <w:szCs w:val="24"/>
              </w:rPr>
              <w:t>6 (19)</w:t>
            </w:r>
          </w:p>
        </w:tc>
        <w:tc>
          <w:tcPr>
            <w:tcW w:w="1167" w:type="pct"/>
          </w:tcPr>
          <w:p w14:paraId="5B8D4A1F" w14:textId="77777777" w:rsidR="003C27E7" w:rsidRDefault="004E07E6">
            <w:pPr>
              <w:ind w:left="1015"/>
              <w:jc w:val="left"/>
              <w:rPr>
                <w:rFonts w:ascii="Times New Roman" w:hAnsi="Times New Roman" w:cs="Times New Roman"/>
                <w:sz w:val="24"/>
                <w:szCs w:val="24"/>
              </w:rPr>
            </w:pPr>
            <w:r>
              <w:rPr>
                <w:rFonts w:ascii="Times New Roman" w:hAnsi="Times New Roman" w:cs="Times New Roman"/>
                <w:sz w:val="24"/>
                <w:szCs w:val="24"/>
              </w:rPr>
              <w:t>3 (12)</w:t>
            </w:r>
          </w:p>
        </w:tc>
      </w:tr>
      <w:tr w:rsidR="003C27E7" w14:paraId="3B04B5FB" w14:textId="77777777">
        <w:trPr>
          <w:trHeight w:val="20"/>
        </w:trPr>
        <w:tc>
          <w:tcPr>
            <w:tcW w:w="1518" w:type="pct"/>
            <w:tcBorders>
              <w:bottom w:val="single" w:sz="4" w:space="0" w:color="auto"/>
            </w:tcBorders>
          </w:tcPr>
          <w:p w14:paraId="70E103B3"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Moderate or severe</w:t>
            </w:r>
          </w:p>
        </w:tc>
        <w:tc>
          <w:tcPr>
            <w:tcW w:w="574" w:type="pct"/>
            <w:tcBorders>
              <w:bottom w:val="single" w:sz="4" w:space="0" w:color="auto"/>
            </w:tcBorders>
          </w:tcPr>
          <w:p w14:paraId="0357DED8" w14:textId="77777777" w:rsidR="003C27E7" w:rsidRDefault="004E07E6">
            <w:pPr>
              <w:ind w:left="246"/>
              <w:jc w:val="left"/>
              <w:rPr>
                <w:rFonts w:ascii="Times New Roman" w:hAnsi="Times New Roman" w:cs="Times New Roman"/>
                <w:sz w:val="24"/>
                <w:szCs w:val="24"/>
              </w:rPr>
            </w:pPr>
            <w:r>
              <w:rPr>
                <w:rFonts w:ascii="Times New Roman" w:hAnsi="Times New Roman" w:cs="Times New Roman"/>
                <w:sz w:val="24"/>
                <w:szCs w:val="24"/>
              </w:rPr>
              <w:t>19 (22)</w:t>
            </w:r>
          </w:p>
        </w:tc>
        <w:tc>
          <w:tcPr>
            <w:tcW w:w="574" w:type="pct"/>
            <w:tcBorders>
              <w:bottom w:val="single" w:sz="4" w:space="0" w:color="auto"/>
            </w:tcBorders>
          </w:tcPr>
          <w:p w14:paraId="5D0CBED6" w14:textId="77777777" w:rsidR="003C27E7" w:rsidRDefault="004E07E6">
            <w:pPr>
              <w:ind w:left="248"/>
              <w:jc w:val="left"/>
              <w:rPr>
                <w:rFonts w:ascii="Times New Roman" w:hAnsi="Times New Roman" w:cs="Times New Roman"/>
                <w:sz w:val="24"/>
                <w:szCs w:val="24"/>
              </w:rPr>
            </w:pPr>
            <w:r>
              <w:rPr>
                <w:rFonts w:ascii="Times New Roman" w:hAnsi="Times New Roman" w:cs="Times New Roman"/>
                <w:sz w:val="24"/>
                <w:szCs w:val="24"/>
              </w:rPr>
              <w:t>9 (28)</w:t>
            </w:r>
          </w:p>
        </w:tc>
        <w:tc>
          <w:tcPr>
            <w:tcW w:w="1167" w:type="pct"/>
            <w:tcBorders>
              <w:bottom w:val="single" w:sz="4" w:space="0" w:color="auto"/>
            </w:tcBorders>
          </w:tcPr>
          <w:p w14:paraId="4D0204B0" w14:textId="77777777" w:rsidR="003C27E7" w:rsidRDefault="004E07E6">
            <w:pPr>
              <w:ind w:left="970"/>
              <w:jc w:val="left"/>
              <w:rPr>
                <w:rFonts w:ascii="Times New Roman" w:hAnsi="Times New Roman" w:cs="Times New Roman"/>
                <w:sz w:val="24"/>
                <w:szCs w:val="24"/>
              </w:rPr>
            </w:pPr>
            <w:r>
              <w:rPr>
                <w:rFonts w:ascii="Times New Roman" w:hAnsi="Times New Roman" w:cs="Times New Roman"/>
                <w:sz w:val="24"/>
                <w:szCs w:val="24"/>
              </w:rPr>
              <w:t>3 (13)</w:t>
            </w:r>
          </w:p>
        </w:tc>
        <w:tc>
          <w:tcPr>
            <w:tcW w:w="1167" w:type="pct"/>
            <w:tcBorders>
              <w:bottom w:val="single" w:sz="4" w:space="0" w:color="auto"/>
            </w:tcBorders>
          </w:tcPr>
          <w:p w14:paraId="617AB1D2" w14:textId="77777777" w:rsidR="003C27E7" w:rsidRDefault="004E07E6">
            <w:pPr>
              <w:ind w:left="1015"/>
              <w:jc w:val="left"/>
              <w:rPr>
                <w:rFonts w:ascii="Times New Roman" w:hAnsi="Times New Roman" w:cs="Times New Roman"/>
                <w:sz w:val="24"/>
                <w:szCs w:val="24"/>
              </w:rPr>
            </w:pPr>
            <w:r>
              <w:rPr>
                <w:rFonts w:ascii="Times New Roman" w:hAnsi="Times New Roman" w:cs="Times New Roman"/>
                <w:sz w:val="24"/>
                <w:szCs w:val="24"/>
              </w:rPr>
              <w:t>6 (25)</w:t>
            </w:r>
          </w:p>
        </w:tc>
      </w:tr>
    </w:tbl>
    <w:p w14:paraId="3EC63F37"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Data are presented as n (%).</w:t>
      </w:r>
    </w:p>
    <w:p w14:paraId="5674036F" w14:textId="77777777" w:rsidR="003C27E7" w:rsidRDefault="004E07E6">
      <w:pPr>
        <w:spacing w:line="480" w:lineRule="auto"/>
        <w:jc w:val="left"/>
        <w:rPr>
          <w:rFonts w:ascii="Times New Roman" w:hAnsi="Times New Roman" w:cs="Times New Roman"/>
          <w:sz w:val="24"/>
          <w:szCs w:val="24"/>
        </w:rPr>
        <w:sectPr w:rsidR="003C27E7">
          <w:type w:val="continuous"/>
          <w:pgSz w:w="16838" w:h="11906" w:orient="landscape"/>
          <w:pgMar w:top="1440" w:right="1440" w:bottom="1440" w:left="1440" w:header="851" w:footer="992" w:gutter="0"/>
          <w:lnNumType w:countBy="1" w:restart="continuous"/>
          <w:cols w:space="425"/>
          <w:docGrid w:type="lines" w:linePitch="312"/>
        </w:sectPr>
      </w:pPr>
      <w:r>
        <w:rPr>
          <w:rFonts w:ascii="Times New Roman" w:hAnsi="Times New Roman" w:cs="Times New Roman"/>
          <w:sz w:val="24"/>
          <w:szCs w:val="24"/>
          <w:vertAlign w:val="superscript"/>
        </w:rPr>
        <w:t>*</w:t>
      </w:r>
      <w:bookmarkStart w:id="0" w:name="_GoBack"/>
      <w:r w:rsidRPr="00900B88">
        <w:rPr>
          <w:rFonts w:ascii="Times New Roman" w:hAnsi="Times New Roman" w:cs="Times New Roman"/>
          <w:i/>
          <w:sz w:val="24"/>
          <w:szCs w:val="24"/>
        </w:rPr>
        <w:t>P</w:t>
      </w:r>
      <w:bookmarkEnd w:id="0"/>
      <w:r>
        <w:rPr>
          <w:rFonts w:ascii="Times New Roman" w:hAnsi="Times New Roman" w:cs="Times New Roman"/>
          <w:sz w:val="24"/>
          <w:szCs w:val="24"/>
        </w:rPr>
        <w:t>&lt;0.05 vs fentanyl–butorphanol group.</w:t>
      </w:r>
    </w:p>
    <w:p w14:paraId="3BB4AD17"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b/>
          <w:bCs/>
          <w:sz w:val="24"/>
          <w:szCs w:val="24"/>
        </w:rPr>
        <w:lastRenderedPageBreak/>
        <w:t>Supplemental</w:t>
      </w:r>
      <w:r>
        <w:rPr>
          <w:rFonts w:ascii="Times New Roman" w:hAnsi="Times New Roman" w:cs="Times New Roman"/>
          <w:b/>
          <w:sz w:val="24"/>
          <w:szCs w:val="24"/>
        </w:rPr>
        <w:t xml:space="preserve"> Table 2.</w:t>
      </w:r>
      <w:r>
        <w:rPr>
          <w:rFonts w:ascii="Times New Roman" w:hAnsi="Times New Roman" w:cs="Times New Roman"/>
          <w:sz w:val="24"/>
          <w:szCs w:val="24"/>
        </w:rPr>
        <w:t xml:space="preserve"> Cumulative analgesic/sedative doses, duration of treatment, and length of stay in the ICU in different groups</w:t>
      </w:r>
    </w:p>
    <w:tbl>
      <w:tblPr>
        <w:tblStyle w:val="ad"/>
        <w:tblW w:w="44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gridCol w:w="2350"/>
        <w:gridCol w:w="2940"/>
        <w:gridCol w:w="2940"/>
      </w:tblGrid>
      <w:tr w:rsidR="003C27E7" w14:paraId="4A5D7884" w14:textId="77777777">
        <w:trPr>
          <w:trHeight w:val="20"/>
        </w:trPr>
        <w:tc>
          <w:tcPr>
            <w:tcW w:w="1708" w:type="pct"/>
            <w:tcBorders>
              <w:top w:val="single" w:sz="4" w:space="0" w:color="auto"/>
              <w:bottom w:val="single" w:sz="4" w:space="0" w:color="auto"/>
            </w:tcBorders>
          </w:tcPr>
          <w:p w14:paraId="1D61172F" w14:textId="77777777" w:rsidR="003C27E7" w:rsidRDefault="003C27E7">
            <w:pPr>
              <w:jc w:val="left"/>
              <w:rPr>
                <w:rFonts w:ascii="Times New Roman" w:hAnsi="Times New Roman" w:cs="Times New Roman"/>
                <w:sz w:val="24"/>
                <w:szCs w:val="24"/>
              </w:rPr>
            </w:pPr>
          </w:p>
        </w:tc>
        <w:tc>
          <w:tcPr>
            <w:tcW w:w="940" w:type="pct"/>
            <w:tcBorders>
              <w:top w:val="single" w:sz="4" w:space="0" w:color="auto"/>
              <w:bottom w:val="single" w:sz="4" w:space="0" w:color="auto"/>
            </w:tcBorders>
          </w:tcPr>
          <w:p w14:paraId="30C33905"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Fentanyl</w:t>
            </w:r>
            <w:r>
              <w:rPr>
                <w:rFonts w:ascii="Times New Roman" w:hAnsi="Times New Roman" w:cs="Times New Roman"/>
                <w:b/>
                <w:sz w:val="24"/>
                <w:szCs w:val="24"/>
              </w:rPr>
              <w:br/>
              <w:t>(n=30)</w:t>
            </w:r>
          </w:p>
        </w:tc>
        <w:tc>
          <w:tcPr>
            <w:tcW w:w="1176" w:type="pct"/>
            <w:tcBorders>
              <w:top w:val="single" w:sz="4" w:space="0" w:color="auto"/>
              <w:bottom w:val="single" w:sz="4" w:space="0" w:color="auto"/>
            </w:tcBorders>
          </w:tcPr>
          <w:p w14:paraId="4C6F5194"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Fentanyl–butorphanol</w:t>
            </w:r>
            <w:r>
              <w:rPr>
                <w:rFonts w:ascii="Times New Roman" w:hAnsi="Times New Roman" w:cs="Times New Roman"/>
                <w:b/>
                <w:sz w:val="24"/>
                <w:szCs w:val="24"/>
              </w:rPr>
              <w:br/>
              <w:t>(n=29)</w:t>
            </w:r>
          </w:p>
        </w:tc>
        <w:tc>
          <w:tcPr>
            <w:tcW w:w="1176" w:type="pct"/>
            <w:tcBorders>
              <w:top w:val="single" w:sz="4" w:space="0" w:color="auto"/>
              <w:bottom w:val="single" w:sz="4" w:space="0" w:color="auto"/>
            </w:tcBorders>
          </w:tcPr>
          <w:p w14:paraId="65996FA8" w14:textId="77777777" w:rsidR="003C27E7" w:rsidRDefault="004E07E6">
            <w:pPr>
              <w:jc w:val="center"/>
              <w:rPr>
                <w:rFonts w:ascii="Times New Roman" w:hAnsi="Times New Roman" w:cs="Times New Roman"/>
                <w:b/>
                <w:sz w:val="24"/>
                <w:szCs w:val="24"/>
              </w:rPr>
            </w:pPr>
            <w:r>
              <w:rPr>
                <w:rFonts w:ascii="Times New Roman" w:hAnsi="Times New Roman" w:cs="Times New Roman"/>
                <w:b/>
                <w:sz w:val="24"/>
                <w:szCs w:val="24"/>
              </w:rPr>
              <w:t>Fentanyl–hydromorphone</w:t>
            </w:r>
            <w:r>
              <w:rPr>
                <w:rFonts w:ascii="Times New Roman" w:hAnsi="Times New Roman" w:cs="Times New Roman"/>
                <w:b/>
                <w:sz w:val="24"/>
                <w:szCs w:val="24"/>
              </w:rPr>
              <w:br/>
              <w:t>(n=23)</w:t>
            </w:r>
          </w:p>
        </w:tc>
      </w:tr>
      <w:tr w:rsidR="003C27E7" w14:paraId="0047A4F9" w14:textId="77777777">
        <w:trPr>
          <w:trHeight w:val="20"/>
        </w:trPr>
        <w:tc>
          <w:tcPr>
            <w:tcW w:w="1708" w:type="pct"/>
            <w:tcBorders>
              <w:top w:val="single" w:sz="4" w:space="0" w:color="auto"/>
            </w:tcBorders>
          </w:tcPr>
          <w:p w14:paraId="7EE53CC9" w14:textId="77777777" w:rsidR="003C27E7" w:rsidRDefault="004E07E6">
            <w:pPr>
              <w:jc w:val="left"/>
              <w:rPr>
                <w:rFonts w:ascii="Times New Roman" w:hAnsi="Times New Roman" w:cs="Times New Roman"/>
                <w:sz w:val="24"/>
                <w:szCs w:val="24"/>
              </w:rPr>
            </w:pPr>
            <w:r>
              <w:rPr>
                <w:rFonts w:ascii="Times New Roman" w:hAnsi="Times New Roman" w:cs="Times New Roman"/>
                <w:sz w:val="24"/>
                <w:szCs w:val="24"/>
              </w:rPr>
              <w:t>Drug dose</w:t>
            </w:r>
          </w:p>
        </w:tc>
        <w:tc>
          <w:tcPr>
            <w:tcW w:w="940" w:type="pct"/>
            <w:tcBorders>
              <w:top w:val="single" w:sz="4" w:space="0" w:color="auto"/>
            </w:tcBorders>
          </w:tcPr>
          <w:p w14:paraId="3B59ED3F" w14:textId="77777777" w:rsidR="003C27E7" w:rsidRDefault="003C27E7">
            <w:pPr>
              <w:ind w:left="164"/>
              <w:jc w:val="left"/>
              <w:rPr>
                <w:rFonts w:ascii="Times New Roman" w:hAnsi="Times New Roman" w:cs="Times New Roman"/>
                <w:sz w:val="24"/>
                <w:szCs w:val="24"/>
              </w:rPr>
            </w:pPr>
          </w:p>
        </w:tc>
        <w:tc>
          <w:tcPr>
            <w:tcW w:w="1176" w:type="pct"/>
            <w:tcBorders>
              <w:top w:val="single" w:sz="4" w:space="0" w:color="auto"/>
            </w:tcBorders>
          </w:tcPr>
          <w:p w14:paraId="03EF580A" w14:textId="77777777" w:rsidR="003C27E7" w:rsidRDefault="003C27E7">
            <w:pPr>
              <w:ind w:left="478"/>
              <w:jc w:val="left"/>
              <w:rPr>
                <w:rFonts w:ascii="Times New Roman" w:hAnsi="Times New Roman" w:cs="Times New Roman"/>
                <w:sz w:val="24"/>
                <w:szCs w:val="24"/>
              </w:rPr>
            </w:pPr>
          </w:p>
        </w:tc>
        <w:tc>
          <w:tcPr>
            <w:tcW w:w="1176" w:type="pct"/>
            <w:tcBorders>
              <w:top w:val="single" w:sz="4" w:space="0" w:color="auto"/>
            </w:tcBorders>
          </w:tcPr>
          <w:p w14:paraId="10113C6C" w14:textId="77777777" w:rsidR="003C27E7" w:rsidRDefault="003C27E7">
            <w:pPr>
              <w:jc w:val="left"/>
              <w:rPr>
                <w:rFonts w:ascii="Times New Roman" w:hAnsi="Times New Roman" w:cs="Times New Roman"/>
                <w:sz w:val="24"/>
                <w:szCs w:val="24"/>
              </w:rPr>
            </w:pPr>
          </w:p>
        </w:tc>
      </w:tr>
      <w:tr w:rsidR="003C27E7" w14:paraId="2A9BCCAB" w14:textId="77777777">
        <w:trPr>
          <w:trHeight w:val="20"/>
        </w:trPr>
        <w:tc>
          <w:tcPr>
            <w:tcW w:w="1708" w:type="pct"/>
          </w:tcPr>
          <w:p w14:paraId="57909E9A"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Total dose of analgesic drugs, MED10</w:t>
            </w:r>
          </w:p>
        </w:tc>
        <w:tc>
          <w:tcPr>
            <w:tcW w:w="940" w:type="pct"/>
          </w:tcPr>
          <w:p w14:paraId="622151FC"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62.5 [40.0, 147.5]</w:t>
            </w:r>
            <w:r>
              <w:rPr>
                <w:rFonts w:ascii="Times New Roman" w:hAnsi="Times New Roman" w:cs="Times New Roman"/>
                <w:sz w:val="24"/>
                <w:szCs w:val="24"/>
                <w:vertAlign w:val="superscript"/>
              </w:rPr>
              <w:t xml:space="preserve"> *</w:t>
            </w:r>
          </w:p>
        </w:tc>
        <w:tc>
          <w:tcPr>
            <w:tcW w:w="1176" w:type="pct"/>
          </w:tcPr>
          <w:p w14:paraId="3353292F"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39.1 [30.0, 67.5]</w:t>
            </w:r>
          </w:p>
        </w:tc>
        <w:tc>
          <w:tcPr>
            <w:tcW w:w="1176" w:type="pct"/>
          </w:tcPr>
          <w:p w14:paraId="185FB47D"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58.8 [30.0, 87.9]</w:t>
            </w:r>
          </w:p>
        </w:tc>
      </w:tr>
      <w:tr w:rsidR="003C27E7" w14:paraId="3E9F33EC" w14:textId="77777777">
        <w:trPr>
          <w:trHeight w:val="20"/>
        </w:trPr>
        <w:tc>
          <w:tcPr>
            <w:tcW w:w="1708" w:type="pct"/>
          </w:tcPr>
          <w:p w14:paraId="36078ADF"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Dose of fentanyl, MED10</w:t>
            </w:r>
          </w:p>
        </w:tc>
        <w:tc>
          <w:tcPr>
            <w:tcW w:w="940" w:type="pct"/>
          </w:tcPr>
          <w:p w14:paraId="5A67632E"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62.5 [40.0, 147.5]</w:t>
            </w:r>
            <w:r>
              <w:rPr>
                <w:rFonts w:ascii="Times New Roman" w:hAnsi="Times New Roman" w:cs="Times New Roman"/>
                <w:sz w:val="24"/>
                <w:szCs w:val="24"/>
                <w:vertAlign w:val="superscript"/>
              </w:rPr>
              <w:t xml:space="preserve"> *#</w:t>
            </w:r>
          </w:p>
        </w:tc>
        <w:tc>
          <w:tcPr>
            <w:tcW w:w="1176" w:type="pct"/>
          </w:tcPr>
          <w:p w14:paraId="4B54B134"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20.9 [15.0, 52.7]</w:t>
            </w:r>
          </w:p>
        </w:tc>
        <w:tc>
          <w:tcPr>
            <w:tcW w:w="1176" w:type="pct"/>
          </w:tcPr>
          <w:p w14:paraId="0B1EFB66"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20.7 [7.6, 55.8]</w:t>
            </w:r>
          </w:p>
        </w:tc>
      </w:tr>
      <w:tr w:rsidR="003C27E7" w14:paraId="7422D152" w14:textId="77777777">
        <w:trPr>
          <w:trHeight w:val="20"/>
        </w:trPr>
        <w:tc>
          <w:tcPr>
            <w:tcW w:w="1708" w:type="pct"/>
          </w:tcPr>
          <w:p w14:paraId="7C97C397"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Dose of butorphanol, mg</w:t>
            </w:r>
          </w:p>
        </w:tc>
        <w:tc>
          <w:tcPr>
            <w:tcW w:w="940" w:type="pct"/>
          </w:tcPr>
          <w:p w14:paraId="65377668"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NA</w:t>
            </w:r>
          </w:p>
        </w:tc>
        <w:tc>
          <w:tcPr>
            <w:tcW w:w="1176" w:type="pct"/>
          </w:tcPr>
          <w:p w14:paraId="1BC66C0B"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25.0 [20.4, 39.6]</w:t>
            </w:r>
          </w:p>
        </w:tc>
        <w:tc>
          <w:tcPr>
            <w:tcW w:w="1176" w:type="pct"/>
          </w:tcPr>
          <w:p w14:paraId="262BA9EE"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NA</w:t>
            </w:r>
          </w:p>
        </w:tc>
      </w:tr>
      <w:tr w:rsidR="003C27E7" w14:paraId="1963E587" w14:textId="77777777">
        <w:trPr>
          <w:trHeight w:val="20"/>
        </w:trPr>
        <w:tc>
          <w:tcPr>
            <w:tcW w:w="1708" w:type="pct"/>
          </w:tcPr>
          <w:p w14:paraId="76C52A07"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Dose of hydromorphone, mg</w:t>
            </w:r>
          </w:p>
        </w:tc>
        <w:tc>
          <w:tcPr>
            <w:tcW w:w="940" w:type="pct"/>
          </w:tcPr>
          <w:p w14:paraId="04EA3679"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NA</w:t>
            </w:r>
          </w:p>
        </w:tc>
        <w:tc>
          <w:tcPr>
            <w:tcW w:w="1176" w:type="pct"/>
          </w:tcPr>
          <w:p w14:paraId="28387109"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NA</w:t>
            </w:r>
          </w:p>
        </w:tc>
        <w:tc>
          <w:tcPr>
            <w:tcW w:w="1176" w:type="pct"/>
          </w:tcPr>
          <w:p w14:paraId="18553F23"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30.0 [19.8, 76.7]</w:t>
            </w:r>
          </w:p>
        </w:tc>
      </w:tr>
      <w:tr w:rsidR="003C27E7" w14:paraId="2EBB48F9" w14:textId="77777777">
        <w:trPr>
          <w:trHeight w:val="20"/>
        </w:trPr>
        <w:tc>
          <w:tcPr>
            <w:tcW w:w="1708" w:type="pct"/>
          </w:tcPr>
          <w:p w14:paraId="28692E48"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Dose of propofol, g</w:t>
            </w:r>
          </w:p>
        </w:tc>
        <w:tc>
          <w:tcPr>
            <w:tcW w:w="940" w:type="pct"/>
          </w:tcPr>
          <w:p w14:paraId="66214982"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4.2 [1.7, 10.5]</w:t>
            </w:r>
          </w:p>
        </w:tc>
        <w:tc>
          <w:tcPr>
            <w:tcW w:w="1176" w:type="pct"/>
          </w:tcPr>
          <w:p w14:paraId="260DF9C3"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2.0 [1.5, 4.0]</w:t>
            </w:r>
          </w:p>
        </w:tc>
        <w:tc>
          <w:tcPr>
            <w:tcW w:w="1176" w:type="pct"/>
          </w:tcPr>
          <w:p w14:paraId="01337926"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2.5 [1.0, 6.7]</w:t>
            </w:r>
          </w:p>
        </w:tc>
      </w:tr>
      <w:tr w:rsidR="003C27E7" w14:paraId="0AE3EC88" w14:textId="77777777">
        <w:trPr>
          <w:trHeight w:val="20"/>
        </w:trPr>
        <w:tc>
          <w:tcPr>
            <w:tcW w:w="1708" w:type="pct"/>
          </w:tcPr>
          <w:p w14:paraId="61EB4BB4" w14:textId="77777777" w:rsidR="003C27E7" w:rsidRDefault="004E07E6">
            <w:pPr>
              <w:jc w:val="left"/>
              <w:rPr>
                <w:rFonts w:ascii="Times New Roman" w:hAnsi="Times New Roman" w:cs="Times New Roman"/>
                <w:sz w:val="24"/>
                <w:szCs w:val="24"/>
              </w:rPr>
            </w:pPr>
            <w:r>
              <w:rPr>
                <w:rFonts w:ascii="Times New Roman" w:hAnsi="Times New Roman" w:cs="Times New Roman"/>
                <w:sz w:val="24"/>
                <w:szCs w:val="24"/>
              </w:rPr>
              <w:t>Duration of analgesia and sedation, h</w:t>
            </w:r>
          </w:p>
        </w:tc>
        <w:tc>
          <w:tcPr>
            <w:tcW w:w="940" w:type="pct"/>
          </w:tcPr>
          <w:p w14:paraId="1AC4162A" w14:textId="77777777" w:rsidR="003C27E7" w:rsidRDefault="003C27E7">
            <w:pPr>
              <w:ind w:left="164"/>
              <w:jc w:val="left"/>
              <w:rPr>
                <w:rFonts w:ascii="Times New Roman" w:hAnsi="Times New Roman" w:cs="Times New Roman"/>
                <w:sz w:val="24"/>
                <w:szCs w:val="24"/>
              </w:rPr>
            </w:pPr>
          </w:p>
        </w:tc>
        <w:tc>
          <w:tcPr>
            <w:tcW w:w="1176" w:type="pct"/>
          </w:tcPr>
          <w:p w14:paraId="6F931C47" w14:textId="77777777" w:rsidR="003C27E7" w:rsidRDefault="003C27E7">
            <w:pPr>
              <w:ind w:left="478"/>
              <w:jc w:val="left"/>
              <w:rPr>
                <w:rFonts w:ascii="Times New Roman" w:hAnsi="Times New Roman" w:cs="Times New Roman"/>
                <w:sz w:val="24"/>
                <w:szCs w:val="24"/>
              </w:rPr>
            </w:pPr>
          </w:p>
        </w:tc>
        <w:tc>
          <w:tcPr>
            <w:tcW w:w="1176" w:type="pct"/>
          </w:tcPr>
          <w:p w14:paraId="79B0B385" w14:textId="77777777" w:rsidR="003C27E7" w:rsidRDefault="003C27E7">
            <w:pPr>
              <w:ind w:left="552"/>
              <w:jc w:val="left"/>
              <w:rPr>
                <w:rFonts w:ascii="Times New Roman" w:hAnsi="Times New Roman" w:cs="Times New Roman"/>
                <w:sz w:val="24"/>
                <w:szCs w:val="24"/>
              </w:rPr>
            </w:pPr>
          </w:p>
        </w:tc>
      </w:tr>
      <w:tr w:rsidR="003C27E7" w14:paraId="16CB67BC" w14:textId="77777777">
        <w:trPr>
          <w:trHeight w:val="20"/>
        </w:trPr>
        <w:tc>
          <w:tcPr>
            <w:tcW w:w="1708" w:type="pct"/>
          </w:tcPr>
          <w:p w14:paraId="64F5D095"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Duration of analgesia</w:t>
            </w:r>
          </w:p>
        </w:tc>
        <w:tc>
          <w:tcPr>
            <w:tcW w:w="940" w:type="pct"/>
          </w:tcPr>
          <w:p w14:paraId="454FC04A"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120 [53, 173]</w:t>
            </w:r>
            <w:r>
              <w:rPr>
                <w:rFonts w:ascii="Times New Roman" w:hAnsi="Times New Roman" w:cs="Times New Roman"/>
                <w:sz w:val="24"/>
                <w:szCs w:val="24"/>
                <w:vertAlign w:val="superscript"/>
              </w:rPr>
              <w:t xml:space="preserve"> *</w:t>
            </w:r>
          </w:p>
        </w:tc>
        <w:tc>
          <w:tcPr>
            <w:tcW w:w="1176" w:type="pct"/>
          </w:tcPr>
          <w:p w14:paraId="1F90C0C2"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56 [44, 80]</w:t>
            </w:r>
          </w:p>
        </w:tc>
        <w:tc>
          <w:tcPr>
            <w:tcW w:w="1176" w:type="pct"/>
          </w:tcPr>
          <w:p w14:paraId="0F3F9F35"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79 [46, 154]</w:t>
            </w:r>
          </w:p>
        </w:tc>
      </w:tr>
      <w:tr w:rsidR="003C27E7" w14:paraId="53F25133" w14:textId="77777777">
        <w:trPr>
          <w:trHeight w:val="20"/>
        </w:trPr>
        <w:tc>
          <w:tcPr>
            <w:tcW w:w="1708" w:type="pct"/>
          </w:tcPr>
          <w:p w14:paraId="1457429C" w14:textId="77777777" w:rsidR="003C27E7" w:rsidRDefault="004E07E6">
            <w:pPr>
              <w:ind w:left="180"/>
              <w:jc w:val="left"/>
              <w:rPr>
                <w:rFonts w:ascii="Times New Roman" w:hAnsi="Times New Roman" w:cs="Times New Roman"/>
                <w:sz w:val="24"/>
                <w:szCs w:val="24"/>
              </w:rPr>
            </w:pPr>
            <w:r>
              <w:rPr>
                <w:rFonts w:ascii="Times New Roman" w:hAnsi="Times New Roman" w:cs="Times New Roman"/>
                <w:sz w:val="24"/>
                <w:szCs w:val="24"/>
              </w:rPr>
              <w:t>Duration of sedation</w:t>
            </w:r>
          </w:p>
        </w:tc>
        <w:tc>
          <w:tcPr>
            <w:tcW w:w="940" w:type="pct"/>
          </w:tcPr>
          <w:p w14:paraId="72A30DB2"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25 [13, 96]</w:t>
            </w:r>
          </w:p>
        </w:tc>
        <w:tc>
          <w:tcPr>
            <w:tcW w:w="1176" w:type="pct"/>
          </w:tcPr>
          <w:p w14:paraId="74515A40"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24 [13, 96]</w:t>
            </w:r>
          </w:p>
        </w:tc>
        <w:tc>
          <w:tcPr>
            <w:tcW w:w="1176" w:type="pct"/>
          </w:tcPr>
          <w:p w14:paraId="70003B5D"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18 [4.5, 62]</w:t>
            </w:r>
          </w:p>
        </w:tc>
      </w:tr>
      <w:tr w:rsidR="003C27E7" w14:paraId="5C9671CF" w14:textId="77777777">
        <w:trPr>
          <w:trHeight w:val="20"/>
        </w:trPr>
        <w:tc>
          <w:tcPr>
            <w:tcW w:w="1708" w:type="pct"/>
            <w:tcBorders>
              <w:bottom w:val="single" w:sz="4" w:space="0" w:color="auto"/>
            </w:tcBorders>
          </w:tcPr>
          <w:p w14:paraId="1221F975" w14:textId="77777777" w:rsidR="003C27E7" w:rsidRDefault="004E07E6">
            <w:pPr>
              <w:jc w:val="left"/>
              <w:rPr>
                <w:rFonts w:ascii="Times New Roman" w:hAnsi="Times New Roman" w:cs="Times New Roman"/>
                <w:sz w:val="24"/>
                <w:szCs w:val="24"/>
              </w:rPr>
            </w:pPr>
            <w:r>
              <w:rPr>
                <w:rFonts w:ascii="Times New Roman" w:hAnsi="Times New Roman" w:cs="Times New Roman"/>
                <w:sz w:val="24"/>
                <w:szCs w:val="24"/>
              </w:rPr>
              <w:lastRenderedPageBreak/>
              <w:t>Length of stay in ICU, days</w:t>
            </w:r>
          </w:p>
        </w:tc>
        <w:tc>
          <w:tcPr>
            <w:tcW w:w="940" w:type="pct"/>
            <w:tcBorders>
              <w:bottom w:val="single" w:sz="4" w:space="0" w:color="auto"/>
            </w:tcBorders>
          </w:tcPr>
          <w:p w14:paraId="3C6BAE82" w14:textId="77777777" w:rsidR="003C27E7" w:rsidRDefault="004E07E6">
            <w:pPr>
              <w:ind w:left="164"/>
              <w:jc w:val="left"/>
              <w:rPr>
                <w:rFonts w:ascii="Times New Roman" w:hAnsi="Times New Roman" w:cs="Times New Roman"/>
                <w:sz w:val="24"/>
                <w:szCs w:val="24"/>
              </w:rPr>
            </w:pPr>
            <w:r>
              <w:rPr>
                <w:rFonts w:ascii="Times New Roman" w:hAnsi="Times New Roman" w:cs="Times New Roman"/>
                <w:sz w:val="24"/>
                <w:szCs w:val="24"/>
              </w:rPr>
              <w:t>5 [2, 8]</w:t>
            </w:r>
            <w:r>
              <w:rPr>
                <w:rFonts w:ascii="Times New Roman" w:hAnsi="Times New Roman" w:cs="Times New Roman"/>
                <w:sz w:val="24"/>
                <w:szCs w:val="24"/>
                <w:vertAlign w:val="superscript"/>
              </w:rPr>
              <w:t xml:space="preserve"> *</w:t>
            </w:r>
          </w:p>
        </w:tc>
        <w:tc>
          <w:tcPr>
            <w:tcW w:w="1176" w:type="pct"/>
            <w:tcBorders>
              <w:bottom w:val="single" w:sz="4" w:space="0" w:color="auto"/>
            </w:tcBorders>
          </w:tcPr>
          <w:p w14:paraId="0A128320" w14:textId="77777777" w:rsidR="003C27E7" w:rsidRDefault="004E07E6">
            <w:pPr>
              <w:ind w:left="478"/>
              <w:jc w:val="left"/>
              <w:rPr>
                <w:rFonts w:ascii="Times New Roman" w:hAnsi="Times New Roman" w:cs="Times New Roman"/>
                <w:sz w:val="24"/>
                <w:szCs w:val="24"/>
              </w:rPr>
            </w:pPr>
            <w:r>
              <w:rPr>
                <w:rFonts w:ascii="Times New Roman" w:hAnsi="Times New Roman" w:cs="Times New Roman"/>
                <w:sz w:val="24"/>
                <w:szCs w:val="24"/>
              </w:rPr>
              <w:t>2 [2, 3]</w:t>
            </w:r>
            <w:r>
              <w:rPr>
                <w:rFonts w:ascii="Times New Roman" w:hAnsi="Times New Roman" w:cs="Times New Roman"/>
                <w:sz w:val="24"/>
                <w:szCs w:val="24"/>
                <w:vertAlign w:val="superscript"/>
              </w:rPr>
              <w:t xml:space="preserve"> ##</w:t>
            </w:r>
          </w:p>
        </w:tc>
        <w:tc>
          <w:tcPr>
            <w:tcW w:w="1176" w:type="pct"/>
            <w:tcBorders>
              <w:bottom w:val="single" w:sz="4" w:space="0" w:color="auto"/>
            </w:tcBorders>
          </w:tcPr>
          <w:p w14:paraId="033D2A8F" w14:textId="77777777" w:rsidR="003C27E7" w:rsidRDefault="004E07E6">
            <w:pPr>
              <w:ind w:left="552"/>
              <w:jc w:val="left"/>
              <w:rPr>
                <w:rFonts w:ascii="Times New Roman" w:hAnsi="Times New Roman" w:cs="Times New Roman"/>
                <w:sz w:val="24"/>
                <w:szCs w:val="24"/>
              </w:rPr>
            </w:pPr>
            <w:r>
              <w:rPr>
                <w:rFonts w:ascii="Times New Roman" w:hAnsi="Times New Roman" w:cs="Times New Roman"/>
                <w:sz w:val="24"/>
                <w:szCs w:val="24"/>
              </w:rPr>
              <w:t>4 [2, 7]</w:t>
            </w:r>
          </w:p>
        </w:tc>
      </w:tr>
    </w:tbl>
    <w:p w14:paraId="12990572"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Data are non-normally distributed and presented as median [interquartile range].</w:t>
      </w:r>
    </w:p>
    <w:p w14:paraId="13729878"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vertAlign w:val="superscript"/>
        </w:rPr>
        <w:t>*</w:t>
      </w:r>
      <w:r w:rsidRPr="00900B88">
        <w:rPr>
          <w:rFonts w:ascii="Times New Roman" w:hAnsi="Times New Roman" w:cs="Times New Roman"/>
          <w:i/>
          <w:sz w:val="24"/>
          <w:szCs w:val="24"/>
        </w:rPr>
        <w:t>P</w:t>
      </w:r>
      <w:r>
        <w:rPr>
          <w:rFonts w:ascii="Times New Roman" w:hAnsi="Times New Roman" w:cs="Times New Roman"/>
          <w:sz w:val="24"/>
          <w:szCs w:val="24"/>
        </w:rPr>
        <w:t xml:space="preserve">&lt;0.05 vs fentanyl–butorphanol group; </w:t>
      </w:r>
      <w:r>
        <w:rPr>
          <w:rFonts w:ascii="Times New Roman" w:hAnsi="Times New Roman" w:cs="Times New Roman"/>
          <w:sz w:val="24"/>
          <w:szCs w:val="24"/>
          <w:vertAlign w:val="superscript"/>
        </w:rPr>
        <w:t>#</w:t>
      </w:r>
      <w:r w:rsidRPr="00900B88">
        <w:rPr>
          <w:rFonts w:ascii="Times New Roman" w:hAnsi="Times New Roman" w:cs="Times New Roman"/>
          <w:i/>
          <w:sz w:val="24"/>
          <w:szCs w:val="24"/>
        </w:rPr>
        <w:t>P</w:t>
      </w:r>
      <w:r>
        <w:rPr>
          <w:rFonts w:ascii="Times New Roman" w:hAnsi="Times New Roman" w:cs="Times New Roman"/>
          <w:sz w:val="24"/>
          <w:szCs w:val="24"/>
        </w:rPr>
        <w:t xml:space="preserve">=0.001, </w:t>
      </w:r>
      <w:r>
        <w:rPr>
          <w:rFonts w:ascii="Times New Roman" w:hAnsi="Times New Roman" w:cs="Times New Roman"/>
          <w:sz w:val="24"/>
          <w:szCs w:val="24"/>
          <w:vertAlign w:val="superscript"/>
        </w:rPr>
        <w:t>##</w:t>
      </w:r>
      <w:r w:rsidRPr="00900B88">
        <w:rPr>
          <w:rFonts w:ascii="Times New Roman" w:hAnsi="Times New Roman" w:cs="Times New Roman"/>
          <w:i/>
          <w:sz w:val="24"/>
          <w:szCs w:val="24"/>
        </w:rPr>
        <w:t>P</w:t>
      </w:r>
      <w:r>
        <w:rPr>
          <w:rFonts w:ascii="Times New Roman" w:hAnsi="Times New Roman" w:cs="Times New Roman"/>
          <w:sz w:val="24"/>
          <w:szCs w:val="24"/>
        </w:rPr>
        <w:t>=0.015 vs fentanyl–hydromorphone group.</w:t>
      </w:r>
    </w:p>
    <w:p w14:paraId="2E4FF3F5" w14:textId="77777777" w:rsidR="003C27E7" w:rsidRDefault="004E07E6">
      <w:pPr>
        <w:spacing w:line="480" w:lineRule="auto"/>
        <w:jc w:val="left"/>
        <w:rPr>
          <w:rFonts w:ascii="Times New Roman" w:hAnsi="Times New Roman" w:cs="Times New Roman"/>
          <w:sz w:val="24"/>
          <w:szCs w:val="24"/>
        </w:rPr>
      </w:pPr>
      <w:r>
        <w:rPr>
          <w:rFonts w:ascii="Times New Roman" w:hAnsi="Times New Roman" w:cs="Times New Roman"/>
          <w:sz w:val="24"/>
          <w:szCs w:val="24"/>
        </w:rPr>
        <w:t>Abbreviations: ICU, intensive care unit; MED10, 10 mg morphine equivalent dose.</w:t>
      </w:r>
    </w:p>
    <w:sectPr w:rsidR="003C27E7">
      <w:type w:val="continuous"/>
      <w:pgSz w:w="16838" w:h="11906" w:orient="landscape"/>
      <w:pgMar w:top="1440" w:right="1440" w:bottom="1440" w:left="1440" w:header="851" w:footer="992"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86926" w16cex:dateUtc="2021-12-04T08:44:00Z"/>
  <w16cex:commentExtensible w16cex:durableId="2558692D" w16cex:dateUtc="2021-12-06T0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061438" w16cid:durableId="25586926"/>
  <w16cid:commentId w16cid:paraId="7E38C162" w16cid:durableId="2558692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A760C" w14:textId="77777777" w:rsidR="00E70DF4" w:rsidRDefault="00E70DF4" w:rsidP="00700E5C">
      <w:r>
        <w:separator/>
      </w:r>
    </w:p>
  </w:endnote>
  <w:endnote w:type="continuationSeparator" w:id="0">
    <w:p w14:paraId="59563340" w14:textId="77777777" w:rsidR="00E70DF4" w:rsidRDefault="00E70DF4" w:rsidP="0070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BADD2" w14:textId="77777777" w:rsidR="00E70DF4" w:rsidRDefault="00E70DF4" w:rsidP="00700E5C">
      <w:r>
        <w:separator/>
      </w:r>
    </w:p>
  </w:footnote>
  <w:footnote w:type="continuationSeparator" w:id="0">
    <w:p w14:paraId="6A4AB685" w14:textId="77777777" w:rsidR="00E70DF4" w:rsidRDefault="00E70DF4" w:rsidP="00700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FAD"/>
    <w:rsid w:val="00012ECB"/>
    <w:rsid w:val="00013A7B"/>
    <w:rsid w:val="001A2B37"/>
    <w:rsid w:val="001E790B"/>
    <w:rsid w:val="00212B26"/>
    <w:rsid w:val="0027743A"/>
    <w:rsid w:val="002D35B1"/>
    <w:rsid w:val="002E4D5E"/>
    <w:rsid w:val="003030E5"/>
    <w:rsid w:val="00321622"/>
    <w:rsid w:val="00350A17"/>
    <w:rsid w:val="00382C04"/>
    <w:rsid w:val="003855CC"/>
    <w:rsid w:val="003C27E7"/>
    <w:rsid w:val="003E1AFB"/>
    <w:rsid w:val="003E69F1"/>
    <w:rsid w:val="00400C3F"/>
    <w:rsid w:val="00483EB9"/>
    <w:rsid w:val="00484E11"/>
    <w:rsid w:val="00492E35"/>
    <w:rsid w:val="004C63FF"/>
    <w:rsid w:val="004E07E6"/>
    <w:rsid w:val="004E714A"/>
    <w:rsid w:val="0050162E"/>
    <w:rsid w:val="00570A32"/>
    <w:rsid w:val="00576A85"/>
    <w:rsid w:val="00605150"/>
    <w:rsid w:val="0060791C"/>
    <w:rsid w:val="006420A4"/>
    <w:rsid w:val="00673D98"/>
    <w:rsid w:val="006862E0"/>
    <w:rsid w:val="006A62FD"/>
    <w:rsid w:val="006C43F0"/>
    <w:rsid w:val="006E4546"/>
    <w:rsid w:val="00700E5C"/>
    <w:rsid w:val="00727257"/>
    <w:rsid w:val="00771CF4"/>
    <w:rsid w:val="007B6AE6"/>
    <w:rsid w:val="007F1E74"/>
    <w:rsid w:val="008848D4"/>
    <w:rsid w:val="008E22F6"/>
    <w:rsid w:val="00900B88"/>
    <w:rsid w:val="0090407B"/>
    <w:rsid w:val="00917767"/>
    <w:rsid w:val="00922A70"/>
    <w:rsid w:val="00955ED0"/>
    <w:rsid w:val="00964F87"/>
    <w:rsid w:val="00982F23"/>
    <w:rsid w:val="009C5FAD"/>
    <w:rsid w:val="009F6E84"/>
    <w:rsid w:val="00A355D8"/>
    <w:rsid w:val="00A75BE6"/>
    <w:rsid w:val="00A91C27"/>
    <w:rsid w:val="00AA156F"/>
    <w:rsid w:val="00AB1595"/>
    <w:rsid w:val="00B00774"/>
    <w:rsid w:val="00B2019C"/>
    <w:rsid w:val="00B65D12"/>
    <w:rsid w:val="00B95D0E"/>
    <w:rsid w:val="00BB04DA"/>
    <w:rsid w:val="00BC7797"/>
    <w:rsid w:val="00C1575B"/>
    <w:rsid w:val="00C23D46"/>
    <w:rsid w:val="00C41CA7"/>
    <w:rsid w:val="00C76A34"/>
    <w:rsid w:val="00CB5F5F"/>
    <w:rsid w:val="00CC42E6"/>
    <w:rsid w:val="00D02EC9"/>
    <w:rsid w:val="00D24D3D"/>
    <w:rsid w:val="00D42BAA"/>
    <w:rsid w:val="00D63531"/>
    <w:rsid w:val="00D74886"/>
    <w:rsid w:val="00D956BE"/>
    <w:rsid w:val="00D95B4E"/>
    <w:rsid w:val="00DA0C62"/>
    <w:rsid w:val="00E01C20"/>
    <w:rsid w:val="00E14BDD"/>
    <w:rsid w:val="00E24BAA"/>
    <w:rsid w:val="00E3291C"/>
    <w:rsid w:val="00E40BBD"/>
    <w:rsid w:val="00E70DF4"/>
    <w:rsid w:val="00EA3767"/>
    <w:rsid w:val="00EA430A"/>
    <w:rsid w:val="00F02EF4"/>
    <w:rsid w:val="00F20BC9"/>
    <w:rsid w:val="00F26E65"/>
    <w:rsid w:val="00F33C08"/>
    <w:rsid w:val="00F6024F"/>
    <w:rsid w:val="00F61895"/>
    <w:rsid w:val="00FA41FD"/>
    <w:rsid w:val="7A111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DE10B"/>
  <w15:docId w15:val="{C22E6D3D-E6B4-4EBC-86D9-6059DFCF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Pr>
      <w:sz w:val="20"/>
      <w:szCs w:val="20"/>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0"/>
    <w:uiPriority w:val="99"/>
    <w:semiHidden/>
    <w:unhideWhenUsed/>
    <w:qFormat/>
  </w:style>
  <w:style w:type="character" w:styleId="af">
    <w:name w:val="annotation reference"/>
    <w:basedOn w:val="a0"/>
    <w:uiPriority w:val="99"/>
    <w:semiHidden/>
    <w:unhideWhenUsed/>
    <w:qFormat/>
    <w:rPr>
      <w:sz w:val="16"/>
      <w:szCs w:val="16"/>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ascii="Tahoma" w:hAnsi="Tahoma" w:cs="Tahoma"/>
      <w:sz w:val="16"/>
      <w:szCs w:val="16"/>
    </w:rPr>
  </w:style>
  <w:style w:type="character" w:customStyle="1" w:styleId="a4">
    <w:name w:val="批注文字 字符"/>
    <w:basedOn w:val="a0"/>
    <w:link w:val="a3"/>
    <w:uiPriority w:val="99"/>
    <w:semiHidden/>
    <w:rPr>
      <w:sz w:val="20"/>
      <w:szCs w:val="20"/>
    </w:rPr>
  </w:style>
  <w:style w:type="character" w:customStyle="1" w:styleId="ac">
    <w:name w:val="批注主题 字符"/>
    <w:basedOn w:val="a4"/>
    <w:link w:val="ab"/>
    <w:uiPriority w:val="99"/>
    <w:semiHidden/>
    <w:qFormat/>
    <w:rPr>
      <w:b/>
      <w:bCs/>
      <w:sz w:val="20"/>
      <w:szCs w:val="20"/>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956</Words>
  <Characters>5452</Characters>
  <Application>Microsoft Office Word</Application>
  <DocSecurity>0</DocSecurity>
  <Lines>45</Lines>
  <Paragraphs>12</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 tong</dc:creator>
  <cp:lastModifiedBy>sha tong</cp:lastModifiedBy>
  <cp:revision>5</cp:revision>
  <dcterms:created xsi:type="dcterms:W3CDTF">2021-12-20T08:26:00Z</dcterms:created>
  <dcterms:modified xsi:type="dcterms:W3CDTF">2021-12-20T12:43:00Z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30B99735A8F245239E2658983B1A8142</vt:lpwstr>
  </property>
</Properties>
</file>