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B4C" w:rsidRDefault="000F3B4C" w:rsidP="000F3B4C">
      <w:pPr>
        <w:spacing w:after="0" w:line="240" w:lineRule="auto"/>
        <w:rPr>
          <w:rFonts w:ascii="Times New Roman" w:hAnsi="Times New Roman"/>
          <w:b/>
          <w:color w:val="000000"/>
          <w:kern w:val="24"/>
          <w:sz w:val="20"/>
          <w:szCs w:val="20"/>
        </w:rPr>
      </w:pPr>
      <w:bookmarkStart w:id="0" w:name="_Hlk78731161"/>
      <w:r>
        <w:rPr>
          <w:rFonts w:ascii="Times New Roman" w:hAnsi="Times New Roman"/>
          <w:b/>
          <w:color w:val="000000"/>
          <w:kern w:val="24"/>
          <w:sz w:val="20"/>
          <w:szCs w:val="20"/>
        </w:rPr>
        <w:t>Appendix</w:t>
      </w:r>
      <w:bookmarkStart w:id="1" w:name="_Hlk78731175"/>
      <w:bookmarkEnd w:id="0"/>
    </w:p>
    <w:p w:rsidR="000F3B4C" w:rsidRDefault="000F3B4C" w:rsidP="000F3B4C">
      <w:pPr>
        <w:spacing w:after="0" w:line="240" w:lineRule="auto"/>
        <w:rPr>
          <w:rFonts w:ascii="Times New Roman" w:hAnsi="Times New Roman"/>
          <w:b/>
          <w:color w:val="000000"/>
          <w:kern w:val="24"/>
          <w:sz w:val="20"/>
          <w:szCs w:val="20"/>
        </w:rPr>
      </w:pPr>
    </w:p>
    <w:p w:rsidR="000F3B4C" w:rsidRDefault="000F3B4C" w:rsidP="000F3B4C">
      <w:pPr>
        <w:tabs>
          <w:tab w:val="num" w:pos="720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Table 7. </w:t>
      </w:r>
      <w:r>
        <w:rPr>
          <w:rFonts w:ascii="Times New Roman" w:hAnsi="Times New Roman"/>
          <w:bCs/>
          <w:sz w:val="20"/>
          <w:szCs w:val="20"/>
        </w:rPr>
        <w:t xml:space="preserve">White Blood Cell Count Over Time in Black vs. Non-Black Cohorts </w:t>
      </w:r>
    </w:p>
    <w:tbl>
      <w:tblPr>
        <w:tblW w:w="8190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594"/>
        <w:gridCol w:w="2210"/>
        <w:gridCol w:w="2210"/>
        <w:gridCol w:w="1176"/>
      </w:tblGrid>
      <w:tr w:rsidR="000F3B4C" w:rsidTr="000F3B4C">
        <w:trPr>
          <w:trHeight w:val="22"/>
        </w:trPr>
        <w:tc>
          <w:tcPr>
            <w:tcW w:w="2594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All Patients 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Black (n=83)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Non-Black (n=99)</w:t>
            </w:r>
          </w:p>
        </w:tc>
        <w:tc>
          <w:tcPr>
            <w:tcW w:w="1176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0F3B4C" w:rsidTr="000F3B4C">
        <w:trPr>
          <w:trHeight w:val="22"/>
        </w:trPr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WBC C1D1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5.5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4.25 – 7.1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6.6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5.1 – 8.1 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WBC C1D14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2.7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 – 3.12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2.95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 – 3.6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0.15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WBC C2D1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3.1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2.18 – 4 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3.25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2.6 – 4.1 </w:t>
            </w:r>
          </w:p>
        </w:tc>
        <w:tc>
          <w:tcPr>
            <w:tcW w:w="117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WBC C2D14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3.2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 – 3.6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3.3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2.7 – 4.3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0.28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WBC C3D1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3.4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2.7 – 4.3 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3.7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2.92 – 4.75</w:t>
            </w:r>
          </w:p>
        </w:tc>
        <w:tc>
          <w:tcPr>
            <w:tcW w:w="117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Δ WBC C1D14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-2.3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-3.95 – -1.65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-3.55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-4.38 – -2.2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Δ WBC C2D1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-1.95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-3.52 – -1.3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-3.3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-4.28 – -2</w:t>
            </w:r>
          </w:p>
        </w:tc>
        <w:tc>
          <w:tcPr>
            <w:tcW w:w="117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Δ WBC C2D14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-2.6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-3.6 – -1.1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-3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-4.4 – -2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0.11</w:t>
            </w:r>
          </w:p>
        </w:tc>
      </w:tr>
      <w:tr w:rsidR="000F3B4C" w:rsidTr="000F3B4C">
        <w:trPr>
          <w:trHeight w:val="21"/>
        </w:trPr>
        <w:tc>
          <w:tcPr>
            <w:tcW w:w="2594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Δ WBC C3D1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Median 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IQR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-1.9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 – -1.17</w:t>
            </w:r>
          </w:p>
        </w:tc>
        <w:tc>
          <w:tcPr>
            <w:tcW w:w="2210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-2.9</w:t>
            </w: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-4.3 – -1.45</w:t>
            </w:r>
          </w:p>
        </w:tc>
        <w:tc>
          <w:tcPr>
            <w:tcW w:w="1176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</w:tcPr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3B4C" w:rsidRDefault="000F3B4C">
            <w:pPr>
              <w:tabs>
                <w:tab w:val="left" w:pos="83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</w:tr>
    </w:tbl>
    <w:p w:rsidR="000F3B4C" w:rsidRDefault="000F3B4C" w:rsidP="000F3B4C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Table 7. </w:t>
      </w:r>
      <w:r>
        <w:rPr>
          <w:rFonts w:ascii="Times New Roman" w:hAnsi="Times New Roman"/>
          <w:bCs/>
          <w:sz w:val="20"/>
          <w:szCs w:val="20"/>
        </w:rPr>
        <w:t xml:space="preserve">White blood cell count (WBC) </w:t>
      </w:r>
      <w:r>
        <w:rPr>
          <w:rFonts w:ascii="Times New Roman" w:hAnsi="Times New Roman"/>
          <w:sz w:val="20"/>
          <w:szCs w:val="20"/>
        </w:rPr>
        <w:t>expressed in x10</w:t>
      </w:r>
      <w:r>
        <w:rPr>
          <w:rFonts w:ascii="Times New Roman" w:hAnsi="Times New Roman"/>
          <w:sz w:val="20"/>
          <w:szCs w:val="20"/>
          <w:vertAlign w:val="superscript"/>
        </w:rPr>
        <w:t>9</w:t>
      </w:r>
      <w:r>
        <w:rPr>
          <w:rFonts w:ascii="Times New Roman" w:hAnsi="Times New Roman"/>
          <w:sz w:val="20"/>
          <w:szCs w:val="20"/>
        </w:rPr>
        <w:t>/L</w:t>
      </w:r>
      <w:r>
        <w:rPr>
          <w:rFonts w:ascii="Times New Roman" w:hAnsi="Times New Roman"/>
          <w:bCs/>
          <w:sz w:val="20"/>
          <w:szCs w:val="20"/>
        </w:rPr>
        <w:t xml:space="preserve"> and the change in WBC (</w:t>
      </w:r>
      <w:r>
        <w:rPr>
          <w:rFonts w:ascii="Times New Roman" w:hAnsi="Times New Roman"/>
          <w:sz w:val="20"/>
          <w:szCs w:val="20"/>
        </w:rPr>
        <w:t>ΔWBC) from baseline</w:t>
      </w:r>
      <w:r>
        <w:rPr>
          <w:rFonts w:ascii="Times New Roman" w:hAnsi="Times New Roman"/>
          <w:bCs/>
          <w:sz w:val="20"/>
          <w:szCs w:val="20"/>
        </w:rPr>
        <w:t xml:space="preserve"> in the Black vs. Non-Black cohorts during treatment with CDK4/6 inhibitors. Abbreviations: WBC: White Blood Cell Count; IQR: Interquartile range; C1D14: Cycle 1 Day 14; C2D1: Cycle 2 Day 1; C2D14: Cycle 2 Day 14; </w:t>
      </w:r>
      <w:r>
        <w:rPr>
          <w:rFonts w:ascii="Times New Roman" w:hAnsi="Times New Roman"/>
          <w:sz w:val="20"/>
          <w:szCs w:val="20"/>
        </w:rPr>
        <w:t>Δ WBC: change in WBC from baseline.</w:t>
      </w:r>
    </w:p>
    <w:bookmarkEnd w:id="1"/>
    <w:p w:rsidR="000F3B4C" w:rsidRDefault="000F3B4C" w:rsidP="000F3B4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F3B4C" w:rsidRDefault="000F3B4C" w:rsidP="000F3B4C">
      <w:pPr>
        <w:tabs>
          <w:tab w:val="num" w:pos="720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F3B4C" w:rsidRDefault="000F3B4C" w:rsidP="000F3B4C">
      <w:pPr>
        <w:tabs>
          <w:tab w:val="num" w:pos="720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Table 8. </w:t>
      </w:r>
      <w:r>
        <w:rPr>
          <w:rFonts w:ascii="Times New Roman" w:hAnsi="Times New Roman"/>
          <w:sz w:val="20"/>
          <w:szCs w:val="20"/>
        </w:rPr>
        <w:t>Total Number of Infections by Grade in Black vs. Non-Black Cohorts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2122"/>
        <w:gridCol w:w="823"/>
      </w:tblGrid>
      <w:tr w:rsidR="000F3B4C" w:rsidTr="000F3B4C"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Race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Infection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Grade</w:t>
            </w:r>
          </w:p>
        </w:tc>
      </w:tr>
      <w:tr w:rsidR="000F3B4C" w:rsidTr="000F3B4C"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Acute bronchitis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Acute diverticulitis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Acute diverticulitis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Skin infection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Skin infection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Skin infection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Colitis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Skin infection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Skin infection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Skin infection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1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Gingivitis/gum abscess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Osteomyelitis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Osteomyelitis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Osteomyelitis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Pneumonia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1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Pneumonia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4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lastRenderedPageBreak/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Pneumonia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URI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URI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URI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URI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URI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1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UTI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UTI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UTI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UTI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UTI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Non-Black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UTI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Bacteremia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Bacteremia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Skin infection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Colitis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Febrile neutropenia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Febrile neutropenia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4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Pneumonia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Pneumonia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4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Pneumonia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4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Pneumonia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Unclear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URI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UTI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2</w:t>
            </w:r>
          </w:p>
        </w:tc>
      </w:tr>
      <w:tr w:rsidR="000F3B4C" w:rsidTr="000F3B4C"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</w:rPr>
              <w:t>Black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UTI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B4C" w:rsidRDefault="000F3B4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3</w:t>
            </w:r>
          </w:p>
        </w:tc>
      </w:tr>
    </w:tbl>
    <w:p w:rsidR="000F3B4C" w:rsidRDefault="000F3B4C" w:rsidP="000F3B4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Table 8: </w:t>
      </w:r>
      <w:r>
        <w:rPr>
          <w:rFonts w:ascii="Times New Roman" w:hAnsi="Times New Roman"/>
          <w:bCs/>
          <w:sz w:val="20"/>
          <w:szCs w:val="20"/>
        </w:rPr>
        <w:t xml:space="preserve">List of infections presented during the time the patients were treated with a CDK4/6i by grade, in the Black and Non-Black cohorts. Of note, </w:t>
      </w:r>
      <w:r>
        <w:rPr>
          <w:rFonts w:ascii="Times New Roman" w:hAnsi="Times New Roman"/>
          <w:sz w:val="20"/>
          <w:szCs w:val="20"/>
        </w:rPr>
        <w:t xml:space="preserve">there were 3 Black patients (3.6%) and 7 Non-Black patients (7%) who experienced more than one infection. </w:t>
      </w:r>
      <w:r>
        <w:rPr>
          <w:rFonts w:ascii="Times New Roman" w:hAnsi="Times New Roman"/>
          <w:bCs/>
          <w:sz w:val="20"/>
          <w:szCs w:val="20"/>
        </w:rPr>
        <w:t xml:space="preserve"> Abbreviations: URI: Upper Respiratory Infection non specified; UTI: Urinary Tract Infection.</w:t>
      </w:r>
    </w:p>
    <w:p w:rsidR="00AD1398" w:rsidRDefault="00AD1398">
      <w:bookmarkStart w:id="2" w:name="_GoBack"/>
      <w:bookmarkEnd w:id="2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B4C"/>
    <w:rsid w:val="000F3B4C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9C575-D0A1-4437-B0CE-31C58487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B4C"/>
    <w:pPr>
      <w:spacing w:line="25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2021-12-31T11:12:00Z</dcterms:created>
  <dcterms:modified xsi:type="dcterms:W3CDTF">2021-12-31T11:12:00Z</dcterms:modified>
</cp:coreProperties>
</file>