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91" w:rsidRPr="00B52C9F" w:rsidRDefault="00087191" w:rsidP="00087191">
      <w:pPr>
        <w:rPr>
          <w:rFonts w:ascii="Times New Roman" w:eastAsia="SSJ-PK74820000003-Identity-H" w:hAnsi="Times New Roman"/>
          <w:bCs/>
          <w:color w:val="000000"/>
          <w:sz w:val="20"/>
          <w:szCs w:val="20"/>
        </w:rPr>
      </w:pPr>
      <w:r w:rsidRPr="00B52C9F">
        <w:rPr>
          <w:rFonts w:ascii="Times New Roman" w:eastAsia="SSJ-PK74820000003-Identity-H" w:hAnsi="Times New Roman"/>
          <w:color w:val="000000"/>
          <w:sz w:val="20"/>
          <w:szCs w:val="20"/>
        </w:rPr>
        <w:t xml:space="preserve">Table </w:t>
      </w:r>
      <w:r w:rsidRPr="00B52C9F">
        <w:rPr>
          <w:rFonts w:ascii="Times New Roman" w:hAnsi="Times New Roman"/>
          <w:color w:val="000000"/>
          <w:sz w:val="20"/>
          <w:szCs w:val="20"/>
        </w:rPr>
        <w:t>S1</w:t>
      </w:r>
      <w:r w:rsidRPr="00B52C9F">
        <w:rPr>
          <w:rFonts w:ascii="Times New Roman" w:eastAsia="SSJ-PK74820000003-Identity-H" w:hAnsi="Times New Roman"/>
          <w:color w:val="000000"/>
          <w:sz w:val="20"/>
          <w:szCs w:val="20"/>
        </w:rPr>
        <w:t>. Univariate analysis for myelosuppression &gt; or = Grade 2</w:t>
      </w:r>
      <w:r w:rsidRPr="00B52C9F">
        <w:rPr>
          <w:rFonts w:ascii="Times New Roman" w:hAnsi="Times New Roman"/>
          <w:color w:val="000000"/>
          <w:sz w:val="20"/>
          <w:szCs w:val="20"/>
        </w:rPr>
        <w:t xml:space="preserve"> and demographic and clinical factors.</w:t>
      </w:r>
    </w:p>
    <w:tbl>
      <w:tblPr>
        <w:tblW w:w="9590" w:type="dxa"/>
        <w:tblInd w:w="-5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  <w:gridCol w:w="2085"/>
        <w:gridCol w:w="1980"/>
        <w:gridCol w:w="1285"/>
        <w:gridCol w:w="1285"/>
      </w:tblGrid>
      <w:tr w:rsidR="00087191" w:rsidRPr="00B52C9F" w:rsidTr="007457FC"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myelosuppression &gt; or = Grade 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Myelosuppression&lt; Grade 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i/>
                <w:iCs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-value</w:t>
            </w:r>
          </w:p>
        </w:tc>
      </w:tr>
      <w:tr w:rsidR="00087191" w:rsidRPr="00B52C9F" w:rsidTr="007457FC"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Age(years)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&lt;50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140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(81.4%)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32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(18.6%)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b/>
                <w:bCs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i/>
                <w:iCs/>
                <w:color w:val="000000"/>
                <w:sz w:val="20"/>
                <w:szCs w:val="20"/>
              </w:rPr>
              <w:t>0.123</w:t>
            </w: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≥50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104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(88.1%)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14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(11.9%)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TNM stage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Stage</w:t>
            </w:r>
            <w:r w:rsidRPr="000B1118">
              <w:rPr>
                <w:rFonts w:ascii="Times New Roman" w:eastAsia="SSJ-PK74820000003-Identity-H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B52C9F">
              <w:rPr>
                <w:rFonts w:ascii="SimSun" w:hAnsi="SimSun" w:cs="SimSun" w:hint="eastAsia"/>
                <w:sz w:val="20"/>
                <w:szCs w:val="20"/>
              </w:rPr>
              <w:t>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58(75.3%)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19(24.7%)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0.035</w:t>
            </w: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Stage</w:t>
            </w:r>
            <w:r w:rsidRPr="000B1118">
              <w:rPr>
                <w:rFonts w:ascii="Times New Roman" w:eastAsia="SSJ-PK74820000003-Identity-H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0B1118">
              <w:rPr>
                <w:rFonts w:ascii="SimSun" w:hAnsi="SimSun" w:cs="SimSun" w:hint="eastAsia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130(88.4%)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17(11.6%)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ind w:firstLineChars="100" w:firstLine="200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Stage</w:t>
            </w:r>
            <w:r w:rsidRPr="000B1118">
              <w:rPr>
                <w:rFonts w:ascii="Times New Roman" w:eastAsia="SSJ-PK74820000003-Identity-H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0B1118">
              <w:rPr>
                <w:rFonts w:ascii="SimSun" w:hAnsi="SimSun" w:cs="SimSun" w:hint="eastAsia"/>
                <w:color w:val="000000"/>
                <w:sz w:val="20"/>
                <w:szCs w:val="20"/>
              </w:rPr>
              <w:t>Ⅲ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56(84.8%)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10(15.2%)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Number of chemotherapy cycles received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37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(88.1%)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5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(11.9%)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0.448</w:t>
            </w: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6-8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207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(83.5%)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B1118"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  <w:t>41</w:t>
            </w: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(16.5%)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Chemotherapy regimens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Anthracycline-based chemotherapy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16(94.1%)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1(5.9%)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Taxane--based chemotherapy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95(81.2%)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22(18.8%)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0.337</w:t>
            </w:r>
          </w:p>
        </w:tc>
      </w:tr>
      <w:tr w:rsidR="00087191" w:rsidRPr="00B52C9F" w:rsidTr="007457FC"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ind w:firstLineChars="100" w:firstLine="20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Combined anthracycline and taxane-based chemotherapy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133(85.3%)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0B1118" w:rsidRDefault="00087191" w:rsidP="007457FC">
            <w:pPr>
              <w:jc w:val="center"/>
              <w:rPr>
                <w:rFonts w:ascii="Times New Roman" w:eastAsia="SSJ-PK74820000003-Identity-H" w:hAnsi="Times New Roman"/>
                <w:color w:val="000000"/>
                <w:sz w:val="20"/>
                <w:szCs w:val="20"/>
              </w:rPr>
            </w:pPr>
            <w:r w:rsidRPr="000B111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23(14.7%)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2C9F">
              <w:rPr>
                <w:rFonts w:ascii="Times New Roman" w:eastAsia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7191" w:rsidRPr="00B52C9F" w:rsidRDefault="00087191" w:rsidP="007457F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87191" w:rsidRPr="00B52C9F" w:rsidRDefault="00087191" w:rsidP="00087191">
      <w:pPr>
        <w:rPr>
          <w:rFonts w:ascii="Times New Roman" w:hAnsi="Times New Roman"/>
          <w:sz w:val="20"/>
          <w:szCs w:val="20"/>
        </w:rPr>
      </w:pPr>
    </w:p>
    <w:p w:rsidR="002F0F5E" w:rsidRDefault="00087191">
      <w:bookmarkStart w:id="0" w:name="_GoBack"/>
      <w:bookmarkEnd w:id="0"/>
    </w:p>
    <w:sectPr w:rsidR="002F0F5E" w:rsidSect="00B52C9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SJ-PK74820000003-Identity-H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91"/>
    <w:rsid w:val="00087191"/>
    <w:rsid w:val="0021090F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F9A833-5222-4713-B035-696A16E8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191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>Springer Nature IT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2022-01-24T13:01:00Z</dcterms:created>
  <dcterms:modified xsi:type="dcterms:W3CDTF">2022-01-24T13:02:00Z</dcterms:modified>
</cp:coreProperties>
</file>