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/>
        <w:ind w:firstLine="482" w:firstLineChars="200"/>
        <w:jc w:val="both"/>
        <w:rPr>
          <w:szCs w:val="24"/>
        </w:rPr>
      </w:pPr>
      <w:r>
        <w:rPr>
          <w:b/>
          <w:bCs/>
          <w:szCs w:val="24"/>
        </w:rPr>
        <w:t xml:space="preserve">Figure </w:t>
      </w:r>
      <w:r>
        <w:rPr>
          <w:rFonts w:hint="eastAsia"/>
          <w:b/>
          <w:bCs/>
          <w:szCs w:val="24"/>
          <w:lang w:val="en-US" w:eastAsia="zh-CN"/>
        </w:rPr>
        <w:t>S</w:t>
      </w:r>
      <w:r>
        <w:rPr>
          <w:b/>
          <w:bCs/>
          <w:szCs w:val="24"/>
        </w:rPr>
        <w:t>. PPI network displayed the relationship among MTFR2 coexpressed genes.</w:t>
      </w:r>
      <w:r>
        <w:rPr>
          <w:szCs w:val="24"/>
        </w:rPr>
        <w:t xml:space="preserve"> (A) PPI network; (B) Relationship networe of Hub genes. </w:t>
      </w:r>
    </w:p>
    <w:p>
      <w:pPr>
        <w:spacing w:before="0" w:after="0"/>
        <w:ind w:firstLine="480" w:firstLineChars="200"/>
        <w:jc w:val="both"/>
        <w:rPr>
          <w:szCs w:val="24"/>
        </w:rPr>
      </w:pPr>
      <w:r>
        <w:rPr>
          <w:szCs w:val="24"/>
        </w:rPr>
        <w:t>Note: red represents positive related genes, blue represents negative related genes, and other colors represent other Hub genes.</w:t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5048885"/>
            <wp:effectExtent l="0" t="0" r="8255" b="18415"/>
            <wp:docPr id="1" name="图片 1" descr="S Figu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 Figure 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04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E66395"/>
    <w:rsid w:val="40DA3A5D"/>
    <w:rsid w:val="651511B9"/>
    <w:rsid w:val="67B629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小方</cp:lastModifiedBy>
  <dcterms:modified xsi:type="dcterms:W3CDTF">2020-11-30T09:02:23Z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