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</w:pPr>
      <w:r>
        <w:drawing xmlns:a="http://schemas.openxmlformats.org/drawingml/2006/main">
          <wp:inline distT="0" distB="0" distL="0" distR="0">
            <wp:extent cx="5452746" cy="4181475"/>
            <wp:effectExtent l="0" t="0" r="0" b="0"/>
            <wp:docPr id="1073741825" name="officeArt object" descr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 3" descr="Image 3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3142" t="14054" r="2199" b="35580"/>
                    <a:stretch>
                      <a:fillRect/>
                    </a:stretch>
                  </pic:blipFill>
                  <pic:spPr>
                    <a:xfrm>
                      <a:off x="0" y="0"/>
                      <a:ext cx="5452746" cy="41814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ody"/>
      </w:pPr>
      <w:r>
        <w:rPr>
          <w:rtl w:val="0"/>
          <w:lang w:val="en-US"/>
        </w:rPr>
        <w:t xml:space="preserve">Fig </w:t>
      </w:r>
      <w:r>
        <w:rPr>
          <w:rtl w:val="0"/>
          <w:lang w:val="en-US"/>
        </w:rPr>
        <w:t>S</w:t>
      </w:r>
      <w:r>
        <w:rPr>
          <w:rtl w:val="0"/>
          <w:lang w:val="en-US"/>
        </w:rPr>
        <w:t>1. Flow chart diagram of participants through the study: only the first fully eligible 25 consecutive patients were included in the qualitative analysis; as human operator error consisted of absence of synthetic acquisition, the two patients concerned were excluded from any analysis; as motion artifacts only compromised conventional acquisitions, the two patients concerned were included in the quantitative analysis.</w:t>
      </w:r>
    </w:p>
    <w:sectPr>
      <w:headerReference w:type="default" r:id="rId5"/>
      <w:footerReference w:type="default" r:id="rId6"/>
      <w:pgSz w:w="11900" w:h="16840" w:orient="portrait"/>
      <w:pgMar w:top="1417" w:right="1417" w:bottom="1417" w:left="1417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hème Office">
  <a:themeElements>
    <a:clrScheme name="Thèm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hèm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hèm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