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AFA66" w14:textId="77777777" w:rsidR="005B21C5" w:rsidRPr="001E149D" w:rsidRDefault="005B21C5" w:rsidP="005B21C5">
      <w:pPr>
        <w:pStyle w:val="Heading1"/>
        <w:rPr>
          <w:lang w:val="en-GB"/>
        </w:rPr>
      </w:pPr>
      <w:r w:rsidRPr="001E149D">
        <w:rPr>
          <w:lang w:val="en-GB"/>
        </w:rPr>
        <w:t>Supplemental figures</w:t>
      </w:r>
    </w:p>
    <w:p w14:paraId="1F54E204" w14:textId="77777777" w:rsidR="005B21C5" w:rsidRPr="001E149D" w:rsidRDefault="005B21C5" w:rsidP="005B21C5">
      <w:pPr>
        <w:jc w:val="both"/>
        <w:rPr>
          <w:b/>
          <w:lang w:val="en-GB"/>
        </w:rPr>
      </w:pPr>
    </w:p>
    <w:p w14:paraId="166F6775" w14:textId="77777777" w:rsidR="005B21C5" w:rsidRPr="001E149D" w:rsidRDefault="005B21C5" w:rsidP="005B21C5">
      <w:pPr>
        <w:jc w:val="both"/>
        <w:rPr>
          <w:lang w:val="en-GB"/>
        </w:rPr>
      </w:pPr>
      <w:r w:rsidRPr="001E149D">
        <w:rPr>
          <w:b/>
          <w:lang w:val="en-GB"/>
        </w:rPr>
        <w:t xml:space="preserve"> </w:t>
      </w:r>
      <w:r w:rsidRPr="001E149D">
        <w:rPr>
          <w:lang w:val="en-GB"/>
        </w:rPr>
        <w:t xml:space="preserve">  </w:t>
      </w:r>
    </w:p>
    <w:p w14:paraId="4AE0A93A" w14:textId="77777777" w:rsidR="005B21C5" w:rsidRPr="001E149D" w:rsidRDefault="005B21C5" w:rsidP="005B21C5">
      <w:pPr>
        <w:jc w:val="both"/>
        <w:rPr>
          <w:lang w:val="en-GB"/>
        </w:rPr>
      </w:pPr>
      <w:r w:rsidRPr="001E149D">
        <w:rPr>
          <w:b/>
          <w:lang w:val="en-GB"/>
        </w:rPr>
        <w:t xml:space="preserve">Supplementary Table 1. </w:t>
      </w:r>
      <w:r w:rsidRPr="001E149D">
        <w:rPr>
          <w:lang w:val="en-GB"/>
        </w:rPr>
        <w:t xml:space="preserve">List of all results from RNAseq </w:t>
      </w:r>
    </w:p>
    <w:p w14:paraId="27C8F8FA" w14:textId="77777777" w:rsidR="005B21C5" w:rsidRPr="001E149D" w:rsidRDefault="005B21C5" w:rsidP="005B21C5">
      <w:pPr>
        <w:rPr>
          <w:lang w:val="en-GB"/>
        </w:rPr>
      </w:pPr>
      <w:bookmarkStart w:id="0" w:name="_x0kdyztxwixe" w:colFirst="0" w:colLast="0"/>
      <w:bookmarkEnd w:id="0"/>
      <w:r w:rsidRPr="00591FEF">
        <w:rPr>
          <w:noProof/>
          <w:lang w:val="en-GB"/>
        </w:rPr>
        <w:drawing>
          <wp:inline distT="0" distB="0" distL="0" distR="0" wp14:anchorId="167425B2" wp14:editId="00D6EB72">
            <wp:extent cx="5943600" cy="3474720"/>
            <wp:effectExtent l="0" t="0" r="0" b="5080"/>
            <wp:docPr id="20" name="Picture 2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Diagram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45FAB" w14:textId="77777777" w:rsidR="005B21C5" w:rsidRPr="001E149D" w:rsidRDefault="005B21C5" w:rsidP="005B21C5">
      <w:pPr>
        <w:jc w:val="both"/>
        <w:rPr>
          <w:lang w:val="en-GB"/>
        </w:rPr>
      </w:pPr>
      <w:r w:rsidRPr="001E149D">
        <w:rPr>
          <w:b/>
          <w:lang w:val="en-GB"/>
        </w:rPr>
        <w:t>Figure S1</w:t>
      </w:r>
      <w:r w:rsidRPr="001E149D">
        <w:rPr>
          <w:lang w:val="en-GB"/>
        </w:rPr>
        <w:t xml:space="preserve">. </w:t>
      </w:r>
      <w:r w:rsidRPr="001E149D">
        <w:rPr>
          <w:b/>
          <w:lang w:val="en-GB"/>
        </w:rPr>
        <w:t xml:space="preserve">Creation of new ΔKu80 lines expressing mNeonGreen or tdTomato </w:t>
      </w:r>
      <w:r>
        <w:rPr>
          <w:b/>
          <w:lang w:val="en-GB"/>
        </w:rPr>
        <w:t>a</w:t>
      </w:r>
      <w:r w:rsidRPr="001E149D">
        <w:rPr>
          <w:b/>
          <w:lang w:val="en-GB"/>
        </w:rPr>
        <w:t xml:space="preserve">. </w:t>
      </w:r>
      <w:r w:rsidRPr="001E149D">
        <w:rPr>
          <w:lang w:val="en-GB"/>
        </w:rPr>
        <w:t xml:space="preserve">Schematic indicating how the endogenous </w:t>
      </w:r>
      <w:r w:rsidRPr="001E149D">
        <w:rPr>
          <w:i/>
          <w:lang w:val="en-GB"/>
        </w:rPr>
        <w:t>ku80</w:t>
      </w:r>
      <w:r w:rsidRPr="001E149D">
        <w:rPr>
          <w:lang w:val="en-GB"/>
        </w:rPr>
        <w:t xml:space="preserve"> gene was replaced with the mNeonGreen or tdTomato cassette. </w:t>
      </w:r>
      <w:r>
        <w:rPr>
          <w:b/>
          <w:lang w:val="en-GB"/>
        </w:rPr>
        <w:t>b</w:t>
      </w:r>
      <w:r w:rsidRPr="001E149D">
        <w:rPr>
          <w:b/>
          <w:lang w:val="en-GB"/>
        </w:rPr>
        <w:t>.</w:t>
      </w:r>
      <w:r w:rsidRPr="001E149D">
        <w:rPr>
          <w:lang w:val="en-GB"/>
        </w:rPr>
        <w:t xml:space="preserve"> PCR reactions of region indicated in </w:t>
      </w:r>
      <w:r>
        <w:rPr>
          <w:lang w:val="en-GB"/>
        </w:rPr>
        <w:t>(</w:t>
      </w:r>
      <w:r w:rsidRPr="00591FEF">
        <w:rPr>
          <w:b/>
          <w:bCs/>
          <w:lang w:val="en-GB"/>
        </w:rPr>
        <w:t>a</w:t>
      </w:r>
      <w:r w:rsidRPr="00591FEF">
        <w:rPr>
          <w:lang w:val="en-GB"/>
        </w:rPr>
        <w:t>)</w:t>
      </w:r>
      <w:r w:rsidRPr="001E149D">
        <w:rPr>
          <w:lang w:val="en-GB"/>
        </w:rPr>
        <w:t xml:space="preserve">, confirming the loss of the endogenous gene.  </w:t>
      </w:r>
    </w:p>
    <w:p w14:paraId="16D6FC97" w14:textId="77777777" w:rsidR="005B21C5" w:rsidRPr="001E149D" w:rsidRDefault="005B21C5" w:rsidP="005B21C5">
      <w:pPr>
        <w:jc w:val="both"/>
        <w:rPr>
          <w:lang w:val="en-GB"/>
        </w:rPr>
      </w:pPr>
    </w:p>
    <w:p w14:paraId="50A4DBAF" w14:textId="77777777" w:rsidR="005B21C5" w:rsidRPr="001E149D" w:rsidRDefault="005B21C5" w:rsidP="005B21C5">
      <w:pPr>
        <w:rPr>
          <w:lang w:val="en-GB"/>
        </w:rPr>
      </w:pPr>
      <w:r w:rsidRPr="00F03B85">
        <w:rPr>
          <w:noProof/>
          <w:lang w:val="en-GB"/>
        </w:rPr>
        <w:lastRenderedPageBreak/>
        <w:drawing>
          <wp:inline distT="0" distB="0" distL="0" distR="0" wp14:anchorId="5013165B" wp14:editId="074D85C4">
            <wp:extent cx="5943600" cy="4093845"/>
            <wp:effectExtent l="0" t="0" r="0" b="0"/>
            <wp:docPr id="21" name="Picture 2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Diagram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CB691" w14:textId="77777777" w:rsidR="005B21C5" w:rsidRPr="001E149D" w:rsidRDefault="005B21C5" w:rsidP="005B21C5">
      <w:pPr>
        <w:jc w:val="both"/>
        <w:rPr>
          <w:lang w:val="en-GB"/>
        </w:rPr>
      </w:pPr>
    </w:p>
    <w:p w14:paraId="3444CB64" w14:textId="77777777" w:rsidR="005B21C5" w:rsidRPr="001E149D" w:rsidRDefault="005B21C5" w:rsidP="005B21C5">
      <w:pPr>
        <w:jc w:val="both"/>
        <w:rPr>
          <w:lang w:val="en-GB"/>
        </w:rPr>
      </w:pPr>
      <w:r w:rsidRPr="001E149D">
        <w:rPr>
          <w:b/>
          <w:lang w:val="en-GB"/>
        </w:rPr>
        <w:t>Figure S2. Construction of ΔVIT::DHFR</w:t>
      </w:r>
      <w:r w:rsidRPr="001E149D">
        <w:rPr>
          <w:b/>
          <w:vertAlign w:val="subscript"/>
          <w:lang w:val="en-GB"/>
        </w:rPr>
        <w:t>TS</w:t>
      </w:r>
      <w:r w:rsidRPr="001E149D">
        <w:rPr>
          <w:b/>
          <w:lang w:val="en-GB"/>
        </w:rPr>
        <w:t xml:space="preserve"> parasite line. </w:t>
      </w:r>
      <w:r>
        <w:rPr>
          <w:b/>
          <w:lang w:val="en-GB"/>
        </w:rPr>
        <w:t>a</w:t>
      </w:r>
      <w:r w:rsidRPr="001E149D">
        <w:rPr>
          <w:b/>
          <w:lang w:val="en-GB"/>
        </w:rPr>
        <w:t xml:space="preserve">. </w:t>
      </w:r>
      <w:r w:rsidRPr="001E149D">
        <w:rPr>
          <w:lang w:val="en-GB"/>
        </w:rPr>
        <w:t xml:space="preserve">Schematic showing how </w:t>
      </w:r>
      <w:r w:rsidRPr="001E149D">
        <w:rPr>
          <w:i/>
          <w:lang w:val="en-GB"/>
        </w:rPr>
        <w:t>vit</w:t>
      </w:r>
      <w:r w:rsidRPr="001E149D">
        <w:rPr>
          <w:lang w:val="en-GB"/>
        </w:rPr>
        <w:t xml:space="preserve"> was replaced with the DHFR cassette</w:t>
      </w:r>
      <w:r w:rsidRPr="001E149D">
        <w:rPr>
          <w:b/>
          <w:lang w:val="en-GB"/>
        </w:rPr>
        <w:t xml:space="preserve">. </w:t>
      </w:r>
      <w:r>
        <w:rPr>
          <w:b/>
          <w:lang w:val="en-GB"/>
        </w:rPr>
        <w:t>b</w:t>
      </w:r>
      <w:r w:rsidRPr="001E149D">
        <w:rPr>
          <w:b/>
          <w:lang w:val="en-GB"/>
        </w:rPr>
        <w:t>.</w:t>
      </w:r>
      <w:r w:rsidRPr="001E149D">
        <w:rPr>
          <w:lang w:val="en-GB"/>
        </w:rPr>
        <w:t xml:space="preserve"> PCR showing the 5’ integration of the DHFR cassette. Plaque assays showing increased sensitivity of the ΔVIT::DHFR</w:t>
      </w:r>
      <w:r w:rsidRPr="001E149D">
        <w:rPr>
          <w:vertAlign w:val="subscript"/>
          <w:lang w:val="en-GB"/>
        </w:rPr>
        <w:t xml:space="preserve">TS </w:t>
      </w:r>
      <w:r w:rsidRPr="001E149D">
        <w:rPr>
          <w:lang w:val="en-GB"/>
        </w:rPr>
        <w:t xml:space="preserve">line to excess ferric ammonium citrate (FAC) </w:t>
      </w:r>
      <w:r w:rsidRPr="001E149D">
        <w:rPr>
          <w:b/>
          <w:lang w:val="en-GB"/>
        </w:rPr>
        <w:t>(</w:t>
      </w:r>
      <w:r>
        <w:rPr>
          <w:b/>
          <w:lang w:val="en-GB"/>
        </w:rPr>
        <w:t>c</w:t>
      </w:r>
      <w:r w:rsidRPr="001E149D">
        <w:rPr>
          <w:b/>
          <w:lang w:val="en-GB"/>
        </w:rPr>
        <w:t>)</w:t>
      </w:r>
      <w:r w:rsidRPr="001E149D">
        <w:rPr>
          <w:lang w:val="en-GB"/>
        </w:rPr>
        <w:t xml:space="preserve"> and ferrous ammonium sulphate (FAS) </w:t>
      </w:r>
      <w:r w:rsidRPr="001E149D">
        <w:rPr>
          <w:b/>
          <w:lang w:val="en-GB"/>
        </w:rPr>
        <w:t>(</w:t>
      </w:r>
      <w:r>
        <w:rPr>
          <w:b/>
          <w:lang w:val="en-GB"/>
        </w:rPr>
        <w:t>d</w:t>
      </w:r>
      <w:r w:rsidRPr="001E149D">
        <w:rPr>
          <w:b/>
          <w:lang w:val="en-GB"/>
        </w:rPr>
        <w:t>)</w:t>
      </w:r>
      <w:r w:rsidRPr="001E149D">
        <w:rPr>
          <w:lang w:val="en-GB"/>
        </w:rPr>
        <w:t xml:space="preserve"> at the indicated concentration compared to the parental parasite line. </w:t>
      </w:r>
    </w:p>
    <w:p w14:paraId="4E3B98B0" w14:textId="77777777" w:rsidR="005B21C5" w:rsidRPr="001E149D" w:rsidRDefault="005B21C5" w:rsidP="005B21C5">
      <w:pPr>
        <w:rPr>
          <w:lang w:val="en-GB"/>
        </w:rPr>
      </w:pPr>
    </w:p>
    <w:p w14:paraId="5F5D7E37" w14:textId="77777777" w:rsidR="005B21C5" w:rsidRPr="001E149D" w:rsidRDefault="005B21C5" w:rsidP="005B21C5">
      <w:pPr>
        <w:rPr>
          <w:lang w:val="en-GB"/>
        </w:rPr>
      </w:pPr>
    </w:p>
    <w:p w14:paraId="20BFDB80" w14:textId="77777777" w:rsidR="005B21C5" w:rsidRPr="001E149D" w:rsidRDefault="005B21C5" w:rsidP="005B21C5">
      <w:pPr>
        <w:rPr>
          <w:lang w:val="en-GB"/>
        </w:rPr>
      </w:pPr>
      <w:r w:rsidRPr="00D0263C">
        <w:rPr>
          <w:noProof/>
          <w:lang w:val="en-GB"/>
        </w:rPr>
        <w:lastRenderedPageBreak/>
        <w:drawing>
          <wp:inline distT="0" distB="0" distL="0" distR="0" wp14:anchorId="441173F0" wp14:editId="6C999FD1">
            <wp:extent cx="5943600" cy="4043680"/>
            <wp:effectExtent l="0" t="0" r="0" b="0"/>
            <wp:docPr id="22" name="Picture 2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Char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4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476F7" w14:textId="77777777" w:rsidR="005B21C5" w:rsidRPr="001E149D" w:rsidRDefault="005B21C5" w:rsidP="005B21C5">
      <w:pPr>
        <w:jc w:val="both"/>
        <w:rPr>
          <w:lang w:val="en-GB"/>
        </w:rPr>
      </w:pPr>
      <w:r w:rsidRPr="001E149D">
        <w:rPr>
          <w:b/>
          <w:lang w:val="en-GB"/>
        </w:rPr>
        <w:t xml:space="preserve">Figure S3. Dose response curves of mNeon and ΔVIT treated with excess metals. </w:t>
      </w:r>
      <w:r w:rsidRPr="001E149D">
        <w:rPr>
          <w:lang w:val="en-GB"/>
        </w:rPr>
        <w:t>As described above, parasites were treated with the indicated concentration of ZnSO</w:t>
      </w:r>
      <w:r w:rsidRPr="001E149D">
        <w:rPr>
          <w:vertAlign w:val="subscript"/>
          <w:lang w:val="en-GB"/>
        </w:rPr>
        <w:t>4</w:t>
      </w:r>
      <w:r w:rsidRPr="001E149D">
        <w:rPr>
          <w:lang w:val="en-GB"/>
        </w:rPr>
        <w:t xml:space="preserve"> </w:t>
      </w:r>
      <w:r w:rsidRPr="001E149D">
        <w:rPr>
          <w:b/>
          <w:lang w:val="en-GB"/>
        </w:rPr>
        <w:t>(</w:t>
      </w:r>
      <w:r>
        <w:rPr>
          <w:b/>
          <w:lang w:val="en-GB"/>
        </w:rPr>
        <w:t>a</w:t>
      </w:r>
      <w:r w:rsidRPr="001E149D">
        <w:rPr>
          <w:b/>
          <w:lang w:val="en-GB"/>
        </w:rPr>
        <w:t>)</w:t>
      </w:r>
      <w:r w:rsidRPr="001E149D">
        <w:rPr>
          <w:lang w:val="en-GB"/>
        </w:rPr>
        <w:t>, CuSO</w:t>
      </w:r>
      <w:r w:rsidRPr="001E149D">
        <w:rPr>
          <w:vertAlign w:val="subscript"/>
          <w:lang w:val="en-GB"/>
        </w:rPr>
        <w:t>4</w:t>
      </w:r>
      <w:r w:rsidRPr="001E149D">
        <w:rPr>
          <w:lang w:val="en-GB"/>
        </w:rPr>
        <w:t xml:space="preserve"> </w:t>
      </w:r>
      <w:r w:rsidRPr="001E149D">
        <w:rPr>
          <w:b/>
          <w:lang w:val="en-GB"/>
        </w:rPr>
        <w:t>(</w:t>
      </w:r>
      <w:r>
        <w:rPr>
          <w:b/>
          <w:lang w:val="en-GB"/>
        </w:rPr>
        <w:t>b</w:t>
      </w:r>
      <w:r w:rsidRPr="001E149D">
        <w:rPr>
          <w:b/>
          <w:lang w:val="en-GB"/>
        </w:rPr>
        <w:t>),</w:t>
      </w:r>
      <w:r w:rsidRPr="001E149D">
        <w:rPr>
          <w:lang w:val="en-GB"/>
        </w:rPr>
        <w:t xml:space="preserve"> CdCl</w:t>
      </w:r>
      <w:r w:rsidRPr="001E149D">
        <w:rPr>
          <w:vertAlign w:val="subscript"/>
          <w:lang w:val="en-GB"/>
        </w:rPr>
        <w:t>2</w:t>
      </w:r>
      <w:r w:rsidRPr="001E149D">
        <w:rPr>
          <w:lang w:val="en-GB"/>
        </w:rPr>
        <w:t xml:space="preserve"> </w:t>
      </w:r>
      <w:r w:rsidRPr="001E149D">
        <w:rPr>
          <w:b/>
          <w:lang w:val="en-GB"/>
        </w:rPr>
        <w:t>(</w:t>
      </w:r>
      <w:r>
        <w:rPr>
          <w:b/>
          <w:lang w:val="en-GB"/>
        </w:rPr>
        <w:t>c</w:t>
      </w:r>
      <w:r w:rsidRPr="001E149D">
        <w:rPr>
          <w:b/>
          <w:lang w:val="en-GB"/>
        </w:rPr>
        <w:t>),</w:t>
      </w:r>
      <w:r w:rsidRPr="001E149D">
        <w:rPr>
          <w:lang w:val="en-GB"/>
        </w:rPr>
        <w:t xml:space="preserve"> or MnCl</w:t>
      </w:r>
      <w:r w:rsidRPr="001E149D">
        <w:rPr>
          <w:vertAlign w:val="subscript"/>
          <w:lang w:val="en-GB"/>
        </w:rPr>
        <w:t xml:space="preserve">2 </w:t>
      </w:r>
      <w:r w:rsidRPr="001E149D">
        <w:rPr>
          <w:b/>
          <w:lang w:val="en-GB"/>
        </w:rPr>
        <w:t>(</w:t>
      </w:r>
      <w:r>
        <w:rPr>
          <w:b/>
          <w:lang w:val="en-GB"/>
        </w:rPr>
        <w:t>d</w:t>
      </w:r>
      <w:r w:rsidRPr="001E149D">
        <w:rPr>
          <w:b/>
          <w:lang w:val="en-GB"/>
        </w:rPr>
        <w:t xml:space="preserve">). </w:t>
      </w:r>
      <w:r w:rsidRPr="001E149D">
        <w:rPr>
          <w:lang w:val="en-GB"/>
        </w:rPr>
        <w:t>All experiments are the mean of four (ZnSO4) or three (CuSO</w:t>
      </w:r>
      <w:r w:rsidRPr="001E149D">
        <w:rPr>
          <w:vertAlign w:val="subscript"/>
          <w:lang w:val="en-GB"/>
        </w:rPr>
        <w:t>4</w:t>
      </w:r>
      <w:r w:rsidRPr="001E149D">
        <w:rPr>
          <w:b/>
          <w:lang w:val="en-GB"/>
        </w:rPr>
        <w:t>,</w:t>
      </w:r>
      <w:r w:rsidRPr="001E149D">
        <w:rPr>
          <w:lang w:val="en-GB"/>
        </w:rPr>
        <w:t xml:space="preserve"> CdCl</w:t>
      </w:r>
      <w:r w:rsidRPr="001E149D">
        <w:rPr>
          <w:vertAlign w:val="subscript"/>
          <w:lang w:val="en-GB"/>
        </w:rPr>
        <w:t>2</w:t>
      </w:r>
      <w:r w:rsidRPr="001E149D">
        <w:rPr>
          <w:b/>
          <w:lang w:val="en-GB"/>
        </w:rPr>
        <w:t>,</w:t>
      </w:r>
      <w:r w:rsidRPr="001E149D">
        <w:rPr>
          <w:lang w:val="en-GB"/>
        </w:rPr>
        <w:t xml:space="preserve"> and MnCl</w:t>
      </w:r>
      <w:r w:rsidRPr="001E149D">
        <w:rPr>
          <w:vertAlign w:val="subscript"/>
          <w:lang w:val="en-GB"/>
        </w:rPr>
        <w:t>2</w:t>
      </w:r>
      <w:r w:rsidRPr="001E149D">
        <w:rPr>
          <w:lang w:val="en-GB"/>
        </w:rPr>
        <w:t>) independent experiments performed in triplicate, ± SEM.</w:t>
      </w:r>
      <w:r w:rsidRPr="001E149D">
        <w:rPr>
          <w:b/>
          <w:lang w:val="en-GB"/>
        </w:rPr>
        <w:t xml:space="preserve"> </w:t>
      </w:r>
      <w:r>
        <w:rPr>
          <w:b/>
          <w:lang w:val="en-GB"/>
        </w:rPr>
        <w:t>e</w:t>
      </w:r>
      <w:r w:rsidRPr="001E149D">
        <w:rPr>
          <w:b/>
          <w:lang w:val="en-GB"/>
        </w:rPr>
        <w:t>.</w:t>
      </w:r>
      <w:r w:rsidRPr="001E149D">
        <w:rPr>
          <w:lang w:val="en-GB"/>
        </w:rPr>
        <w:t xml:space="preserve"> </w:t>
      </w:r>
      <w:r>
        <w:rPr>
          <w:lang w:val="en-GB"/>
        </w:rPr>
        <w:t>S</w:t>
      </w:r>
      <w:r w:rsidRPr="001E149D">
        <w:rPr>
          <w:lang w:val="en-GB"/>
        </w:rPr>
        <w:t>urvival of uninfected HFF cells at the range of sodium arsenite concentrations used above. No change in fluorescence was seen at the concentrations used. Results are the mean</w:t>
      </w:r>
      <w:r w:rsidRPr="00E864AB">
        <w:rPr>
          <w:i/>
          <w:iCs/>
          <w:lang w:val="en-GB"/>
        </w:rPr>
        <w:t xml:space="preserve"> n</w:t>
      </w:r>
      <w:r>
        <w:rPr>
          <w:lang w:val="en-GB"/>
        </w:rPr>
        <w:t xml:space="preserve"> =3</w:t>
      </w:r>
      <w:r w:rsidRPr="001E149D">
        <w:rPr>
          <w:lang w:val="en-GB"/>
        </w:rPr>
        <w:t>, ± SEM.</w:t>
      </w:r>
      <w:r w:rsidRPr="001E149D">
        <w:rPr>
          <w:b/>
          <w:lang w:val="en-GB"/>
        </w:rPr>
        <w:t xml:space="preserve"> </w:t>
      </w:r>
      <w:r>
        <w:rPr>
          <w:b/>
          <w:lang w:val="en-GB"/>
        </w:rPr>
        <w:t>f</w:t>
      </w:r>
      <w:r w:rsidRPr="001E149D">
        <w:rPr>
          <w:b/>
          <w:lang w:val="en-GB"/>
        </w:rPr>
        <w:t>.</w:t>
      </w:r>
      <w:r w:rsidRPr="001E149D">
        <w:rPr>
          <w:lang w:val="en-GB"/>
        </w:rPr>
        <w:t xml:space="preserve"> ICP-MS quantifying zinc (66 Zn) from parental and ΔVIT parasites. Each point represents independent biological replicates, performed in technical duplicate. Bars at mean ± SD. </w:t>
      </w:r>
    </w:p>
    <w:p w14:paraId="7264EE25" w14:textId="77777777" w:rsidR="005B21C5" w:rsidRPr="001E149D" w:rsidRDefault="005B21C5" w:rsidP="005B21C5">
      <w:pPr>
        <w:jc w:val="both"/>
        <w:rPr>
          <w:lang w:val="en-GB"/>
        </w:rPr>
      </w:pPr>
    </w:p>
    <w:p w14:paraId="2510EA91" w14:textId="77777777" w:rsidR="005B21C5" w:rsidRPr="001E149D" w:rsidRDefault="005B21C5" w:rsidP="005B21C5">
      <w:pPr>
        <w:jc w:val="both"/>
        <w:rPr>
          <w:lang w:val="en-GB"/>
        </w:rPr>
      </w:pPr>
      <w:r w:rsidRPr="00CF74F2">
        <w:rPr>
          <w:noProof/>
          <w:lang w:val="en-GB"/>
        </w:rPr>
        <w:lastRenderedPageBreak/>
        <w:drawing>
          <wp:inline distT="0" distB="0" distL="0" distR="0" wp14:anchorId="5C9508C3" wp14:editId="5C7E1A26">
            <wp:extent cx="5943600" cy="3482975"/>
            <wp:effectExtent l="0" t="0" r="0" b="0"/>
            <wp:docPr id="23" name="Picture 23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Graphical user interface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39086" w14:textId="77777777" w:rsidR="005B21C5" w:rsidRPr="001E149D" w:rsidRDefault="005B21C5" w:rsidP="005B21C5">
      <w:pPr>
        <w:jc w:val="both"/>
        <w:rPr>
          <w:lang w:val="en-GB"/>
        </w:rPr>
      </w:pPr>
      <w:r w:rsidRPr="001E149D">
        <w:rPr>
          <w:b/>
          <w:lang w:val="en-GB"/>
        </w:rPr>
        <w:t xml:space="preserve">Figure S4. VIT-HA colocalises with VIT-Ty. </w:t>
      </w:r>
      <w:r>
        <w:rPr>
          <w:b/>
          <w:lang w:val="en-GB"/>
        </w:rPr>
        <w:t>a</w:t>
      </w:r>
      <w:r w:rsidRPr="001E149D">
        <w:rPr>
          <w:b/>
          <w:lang w:val="en-GB"/>
        </w:rPr>
        <w:t>.</w:t>
      </w:r>
      <w:r w:rsidRPr="001E149D">
        <w:rPr>
          <w:lang w:val="en-GB"/>
        </w:rPr>
        <w:t xml:space="preserve"> Colocalisation of endogenously expressed VIT-HA with overexpressed VIT-Ty. Scale bar 5 μm. </w:t>
      </w:r>
      <w:r>
        <w:rPr>
          <w:b/>
          <w:lang w:val="en-GB"/>
        </w:rPr>
        <w:t>b</w:t>
      </w:r>
      <w:r w:rsidRPr="001E149D">
        <w:rPr>
          <w:b/>
          <w:lang w:val="en-GB"/>
        </w:rPr>
        <w:t>.</w:t>
      </w:r>
      <w:r w:rsidRPr="001E149D">
        <w:rPr>
          <w:lang w:val="en-GB"/>
        </w:rPr>
        <w:t xml:space="preserve"> Endogenously tagged VIT-Myc has a dynamic localisation and fragments between 1 and 6 h post invasion. Scale bar 5 μm.</w:t>
      </w:r>
    </w:p>
    <w:p w14:paraId="44CC21F9" w14:textId="77777777" w:rsidR="005B21C5" w:rsidRPr="001E149D" w:rsidRDefault="005B21C5" w:rsidP="005B21C5">
      <w:pPr>
        <w:rPr>
          <w:b/>
          <w:lang w:val="en-GB"/>
        </w:rPr>
      </w:pPr>
    </w:p>
    <w:p w14:paraId="66401742" w14:textId="77777777" w:rsidR="005B21C5" w:rsidRPr="001E149D" w:rsidRDefault="005B21C5" w:rsidP="005B21C5">
      <w:pPr>
        <w:rPr>
          <w:lang w:val="en-GB"/>
        </w:rPr>
      </w:pPr>
      <w:r w:rsidRPr="00F80B0B">
        <w:rPr>
          <w:noProof/>
          <w:lang w:val="en-GB"/>
        </w:rPr>
        <w:drawing>
          <wp:inline distT="0" distB="0" distL="0" distR="0" wp14:anchorId="6CBE0090" wp14:editId="50288F92">
            <wp:extent cx="5943600" cy="2978785"/>
            <wp:effectExtent l="0" t="0" r="0" b="5715"/>
            <wp:docPr id="25" name="Picture 25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picture containing graphical user interfac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93BF5" w14:textId="77777777" w:rsidR="005B21C5" w:rsidRPr="001E149D" w:rsidRDefault="005B21C5" w:rsidP="005B21C5">
      <w:pPr>
        <w:jc w:val="both"/>
        <w:rPr>
          <w:lang w:val="en-GB"/>
        </w:rPr>
      </w:pPr>
      <w:r w:rsidRPr="001E149D">
        <w:rPr>
          <w:b/>
          <w:lang w:val="en-GB"/>
        </w:rPr>
        <w:t xml:space="preserve">Figure S5. Heatmaps of genes from major iron pathways from parental and ΔVIT parasites </w:t>
      </w:r>
      <w:r>
        <w:rPr>
          <w:b/>
          <w:lang w:val="en-GB"/>
        </w:rPr>
        <w:t>a</w:t>
      </w:r>
      <w:r w:rsidRPr="001E149D">
        <w:rPr>
          <w:b/>
          <w:lang w:val="en-GB"/>
        </w:rPr>
        <w:t xml:space="preserve">. </w:t>
      </w:r>
      <w:r w:rsidRPr="001E149D">
        <w:rPr>
          <w:lang w:val="en-GB"/>
        </w:rPr>
        <w:t xml:space="preserve">Genes involved in the heme biosynthesis pathway, read counts normalised across rows. * indicates adj. </w:t>
      </w:r>
      <w:r w:rsidRPr="001E149D">
        <w:rPr>
          <w:i/>
          <w:lang w:val="en-GB"/>
        </w:rPr>
        <w:t>p</w:t>
      </w:r>
      <w:r w:rsidRPr="001E149D">
        <w:rPr>
          <w:lang w:val="en-GB"/>
        </w:rPr>
        <w:t xml:space="preserve"> value of &lt; 0.05 between parental and ΔVIT strain. </w:t>
      </w:r>
      <w:r>
        <w:rPr>
          <w:b/>
          <w:lang w:val="en-GB"/>
        </w:rPr>
        <w:t>b</w:t>
      </w:r>
      <w:r w:rsidRPr="001E149D">
        <w:rPr>
          <w:b/>
          <w:lang w:val="en-GB"/>
        </w:rPr>
        <w:t xml:space="preserve">. </w:t>
      </w:r>
      <w:r w:rsidRPr="001E149D">
        <w:rPr>
          <w:lang w:val="en-GB"/>
        </w:rPr>
        <w:t xml:space="preserve">Genes involved in Fe-S biogenesis read counts, normalised across rows. * indicates adj. </w:t>
      </w:r>
      <w:r w:rsidRPr="001E149D">
        <w:rPr>
          <w:i/>
          <w:lang w:val="en-GB"/>
        </w:rPr>
        <w:t>p</w:t>
      </w:r>
      <w:r w:rsidRPr="001E149D">
        <w:rPr>
          <w:lang w:val="en-GB"/>
        </w:rPr>
        <w:t xml:space="preserve"> value of &lt; 0.05 between parental and ΔVIT strain.</w:t>
      </w:r>
    </w:p>
    <w:p w14:paraId="1A0DFEF2" w14:textId="77777777" w:rsidR="005B21C5" w:rsidRPr="001E149D" w:rsidRDefault="005B21C5" w:rsidP="005B21C5">
      <w:pPr>
        <w:jc w:val="both"/>
        <w:rPr>
          <w:lang w:val="en-GB"/>
        </w:rPr>
      </w:pPr>
    </w:p>
    <w:p w14:paraId="25FA54B2" w14:textId="77777777" w:rsidR="005B21C5" w:rsidRPr="001E149D" w:rsidRDefault="005B21C5" w:rsidP="005B21C5">
      <w:pPr>
        <w:jc w:val="both"/>
        <w:rPr>
          <w:lang w:val="en-GB"/>
        </w:rPr>
      </w:pPr>
    </w:p>
    <w:p w14:paraId="0F8FEEC8" w14:textId="77777777" w:rsidR="005B21C5" w:rsidRPr="001E149D" w:rsidRDefault="005B21C5" w:rsidP="005B21C5">
      <w:pPr>
        <w:jc w:val="both"/>
        <w:rPr>
          <w:lang w:val="en-GB"/>
        </w:rPr>
      </w:pPr>
      <w:r w:rsidRPr="0060436A">
        <w:rPr>
          <w:noProof/>
          <w:lang w:val="en-GB"/>
        </w:rPr>
        <w:drawing>
          <wp:inline distT="0" distB="0" distL="0" distR="0" wp14:anchorId="3F18A63C" wp14:editId="2FAE2F9A">
            <wp:extent cx="5943600" cy="4469765"/>
            <wp:effectExtent l="0" t="0" r="0" b="635"/>
            <wp:docPr id="26" name="Picture 2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Char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83863" w14:textId="77777777" w:rsidR="005B21C5" w:rsidRPr="001E149D" w:rsidRDefault="005B21C5" w:rsidP="005B21C5">
      <w:pPr>
        <w:rPr>
          <w:lang w:val="en-GB"/>
        </w:rPr>
      </w:pPr>
    </w:p>
    <w:p w14:paraId="5F27FD9D" w14:textId="77777777" w:rsidR="005B21C5" w:rsidRPr="001E149D" w:rsidRDefault="005B21C5" w:rsidP="005B21C5">
      <w:pPr>
        <w:jc w:val="both"/>
        <w:rPr>
          <w:lang w:val="en-GB"/>
        </w:rPr>
      </w:pPr>
      <w:r w:rsidRPr="001E149D">
        <w:rPr>
          <w:b/>
          <w:lang w:val="en-GB"/>
        </w:rPr>
        <w:t xml:space="preserve">Figure S6. ΔVIT parasites do not alter transcription of oxidative stress genes </w:t>
      </w:r>
      <w:r>
        <w:rPr>
          <w:b/>
          <w:lang w:val="en-GB"/>
        </w:rPr>
        <w:t>a</w:t>
      </w:r>
      <w:r w:rsidRPr="001E149D">
        <w:rPr>
          <w:b/>
          <w:lang w:val="en-GB"/>
        </w:rPr>
        <w:t xml:space="preserve">.  </w:t>
      </w:r>
      <w:r w:rsidRPr="001E149D">
        <w:rPr>
          <w:lang w:val="en-GB"/>
        </w:rPr>
        <w:t>Normalised read counts for SOD (TGME49_316310) and SOD2 (TGME49_316330)</w:t>
      </w:r>
      <w:r>
        <w:rPr>
          <w:lang w:val="en-GB"/>
        </w:rPr>
        <w:t xml:space="preserve"> from RNAseq</w:t>
      </w:r>
      <w:r w:rsidRPr="001E149D">
        <w:rPr>
          <w:lang w:val="en-GB"/>
        </w:rPr>
        <w:t xml:space="preserve">. SOD3 (TGME49_316190) is not expressed under these conditions (data not shown). Each point represents an independent experiment, performed in duplicate. Line at mean ± SD. </w:t>
      </w:r>
      <w:r>
        <w:rPr>
          <w:b/>
          <w:lang w:val="en-GB"/>
        </w:rPr>
        <w:t>b</w:t>
      </w:r>
      <w:r w:rsidRPr="001E149D">
        <w:rPr>
          <w:b/>
          <w:lang w:val="en-GB"/>
        </w:rPr>
        <w:t xml:space="preserve">. </w:t>
      </w:r>
      <w:r w:rsidRPr="001E149D">
        <w:rPr>
          <w:lang w:val="en-GB"/>
        </w:rPr>
        <w:t xml:space="preserve">Normalised read counts for catalase (TGME49_232250). Each point represents an independent experiment, performed in duplicate. Line at mean ± SD. </w:t>
      </w:r>
      <w:r w:rsidRPr="001E149D">
        <w:rPr>
          <w:i/>
          <w:lang w:val="en-GB"/>
        </w:rPr>
        <w:t>p</w:t>
      </w:r>
      <w:r w:rsidRPr="001E149D">
        <w:rPr>
          <w:lang w:val="en-GB"/>
        </w:rPr>
        <w:t xml:space="preserve"> value from</w:t>
      </w:r>
      <w:r w:rsidRPr="001E149D">
        <w:rPr>
          <w:i/>
          <w:lang w:val="en-GB"/>
        </w:rPr>
        <w:t xml:space="preserve"> t</w:t>
      </w:r>
      <w:r w:rsidRPr="001E149D">
        <w:rPr>
          <w:lang w:val="en-GB"/>
        </w:rPr>
        <w:t xml:space="preserve"> test with FDR correction. </w:t>
      </w:r>
      <w:r>
        <w:rPr>
          <w:b/>
          <w:lang w:val="en-GB"/>
        </w:rPr>
        <w:t>c</w:t>
      </w:r>
      <w:r w:rsidRPr="001E149D">
        <w:rPr>
          <w:b/>
          <w:lang w:val="en-GB"/>
        </w:rPr>
        <w:t>.</w:t>
      </w:r>
      <w:r w:rsidRPr="001E149D">
        <w:rPr>
          <w:lang w:val="en-GB"/>
        </w:rPr>
        <w:t xml:space="preserve"> In gel activity assay for SOD, enzyme activity results in cleared areas on gel. Host (HFF) and parasite enzymes indicated, CDPK used as a parasite loading control. No </w:t>
      </w:r>
      <w:r>
        <w:rPr>
          <w:lang w:val="en-GB"/>
        </w:rPr>
        <w:t>obvious</w:t>
      </w:r>
      <w:r w:rsidRPr="001E149D">
        <w:rPr>
          <w:lang w:val="en-GB"/>
        </w:rPr>
        <w:t xml:space="preserve"> differences were seen between the parental and ΔVIT parasite lines. Results representative of two independent experiments. </w:t>
      </w:r>
      <w:r>
        <w:rPr>
          <w:b/>
          <w:lang w:val="en-GB"/>
        </w:rPr>
        <w:t>d</w:t>
      </w:r>
      <w:r w:rsidRPr="001E149D">
        <w:rPr>
          <w:b/>
          <w:lang w:val="en-GB"/>
        </w:rPr>
        <w:t xml:space="preserve">. </w:t>
      </w:r>
      <w:r w:rsidRPr="001E149D">
        <w:rPr>
          <w:lang w:val="en-GB"/>
        </w:rPr>
        <w:t>MitoTracker signal was measured by flow cytometry and normalised to the mNeon untreated line. Although FAC treatment led to generally increased signal, no significant differences were seen (Kruskal-Wallis test, Dunns multiple comparison correction). Each point represents an independent experiment, line at mean ± SD.</w:t>
      </w:r>
    </w:p>
    <w:p w14:paraId="1C394D19" w14:textId="77777777" w:rsidR="005B21C5" w:rsidRPr="001E149D" w:rsidRDefault="005B21C5" w:rsidP="005B21C5">
      <w:pPr>
        <w:jc w:val="both"/>
        <w:rPr>
          <w:b/>
          <w:lang w:val="en-GB"/>
        </w:rPr>
      </w:pPr>
    </w:p>
    <w:p w14:paraId="5D4F827C" w14:textId="77777777" w:rsidR="005B21C5" w:rsidRPr="001E149D" w:rsidRDefault="005B21C5" w:rsidP="005B21C5">
      <w:pPr>
        <w:jc w:val="both"/>
        <w:rPr>
          <w:b/>
          <w:lang w:val="en-GB"/>
        </w:rPr>
      </w:pPr>
      <w:r w:rsidRPr="00C01D5A">
        <w:rPr>
          <w:b/>
          <w:noProof/>
          <w:lang w:val="en-GB"/>
        </w:rPr>
        <w:lastRenderedPageBreak/>
        <w:drawing>
          <wp:inline distT="0" distB="0" distL="0" distR="0" wp14:anchorId="4864FEB0" wp14:editId="658B744F">
            <wp:extent cx="5943600" cy="5148580"/>
            <wp:effectExtent l="0" t="0" r="0" b="0"/>
            <wp:docPr id="27" name="Picture 2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Diagram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4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DB70C" w14:textId="77777777" w:rsidR="005B21C5" w:rsidRPr="001E149D" w:rsidRDefault="005B21C5" w:rsidP="005B21C5">
      <w:pPr>
        <w:jc w:val="both"/>
        <w:rPr>
          <w:lang w:val="en-GB"/>
        </w:rPr>
      </w:pPr>
      <w:r w:rsidRPr="001E149D">
        <w:rPr>
          <w:b/>
          <w:lang w:val="en-GB"/>
        </w:rPr>
        <w:t xml:space="preserve">Figure S7. Identification and characterisation of </w:t>
      </w:r>
      <w:r w:rsidRPr="001E149D">
        <w:rPr>
          <w:b/>
          <w:i/>
          <w:lang w:val="en-GB"/>
        </w:rPr>
        <w:t xml:space="preserve">T. gondii </w:t>
      </w:r>
      <w:r w:rsidRPr="001E149D">
        <w:rPr>
          <w:b/>
          <w:lang w:val="en-GB"/>
        </w:rPr>
        <w:t xml:space="preserve">mitoferrin. </w:t>
      </w:r>
      <w:r>
        <w:rPr>
          <w:b/>
          <w:lang w:val="en-GB"/>
        </w:rPr>
        <w:t>a</w:t>
      </w:r>
      <w:r w:rsidRPr="001E149D">
        <w:rPr>
          <w:b/>
          <w:lang w:val="en-GB"/>
        </w:rPr>
        <w:t>.</w:t>
      </w:r>
      <w:r w:rsidRPr="001E149D">
        <w:rPr>
          <w:lang w:val="en-GB"/>
        </w:rPr>
        <w:t xml:space="preserve"> Phylogenetic tree of mitoferrin sequences from a variety of species. TGME49_235650 represents an unrelated mitochondrial solute carrier. Bootstraps determined from 100 simulations. Scale indicates substitutions per site. </w:t>
      </w:r>
      <w:r>
        <w:rPr>
          <w:b/>
          <w:lang w:val="en-GB"/>
        </w:rPr>
        <w:t>b</w:t>
      </w:r>
      <w:r w:rsidRPr="001E149D">
        <w:rPr>
          <w:b/>
          <w:lang w:val="en-GB"/>
        </w:rPr>
        <w:t>.</w:t>
      </w:r>
      <w:r w:rsidRPr="001E149D">
        <w:rPr>
          <w:lang w:val="en-GB"/>
        </w:rPr>
        <w:t xml:space="preserve"> Diagram demonstrating C-terminal HA endogenous tagging strategy. </w:t>
      </w:r>
      <w:r>
        <w:rPr>
          <w:b/>
          <w:lang w:val="en-GB"/>
        </w:rPr>
        <w:t>c</w:t>
      </w:r>
      <w:r w:rsidRPr="001E149D">
        <w:rPr>
          <w:b/>
          <w:lang w:val="en-GB"/>
        </w:rPr>
        <w:t xml:space="preserve">. </w:t>
      </w:r>
      <w:r w:rsidRPr="001E149D">
        <w:rPr>
          <w:lang w:val="en-GB"/>
        </w:rPr>
        <w:t xml:space="preserve">PCR confirming the integration of HA into mtf locus in the parental (Δku80) and ΔVIT parasite lines.    </w:t>
      </w:r>
    </w:p>
    <w:p w14:paraId="467B61BE" w14:textId="77777777" w:rsidR="005B21C5" w:rsidRPr="005B21C5" w:rsidRDefault="005B21C5">
      <w:pPr>
        <w:rPr>
          <w:lang w:val="en-GB"/>
        </w:rPr>
      </w:pPr>
      <w:bookmarkStart w:id="1" w:name="_GoBack"/>
      <w:bookmarkEnd w:id="1"/>
    </w:p>
    <w:sectPr w:rsidR="005B21C5" w:rsidRPr="005B21C5" w:rsidSect="00C87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1C5"/>
    <w:rsid w:val="005B21C5"/>
    <w:rsid w:val="00C8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9C0C2"/>
  <w15:chartTrackingRefBased/>
  <w15:docId w15:val="{77274DEC-380D-EE4A-A6FC-B96B08A9D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21C5"/>
    <w:pPr>
      <w:spacing w:line="276" w:lineRule="auto"/>
    </w:pPr>
    <w:rPr>
      <w:rFonts w:ascii="Arial" w:eastAsia="Arial" w:hAnsi="Arial" w:cs="Arial"/>
      <w:sz w:val="22"/>
      <w:szCs w:val="22"/>
      <w:lang w:val="en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21C5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1C5"/>
    <w:rPr>
      <w:rFonts w:ascii="Arial" w:eastAsia="Arial" w:hAnsi="Arial" w:cs="Arial"/>
      <w:sz w:val="40"/>
      <w:szCs w:val="40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628</Words>
  <Characters>3132</Characters>
  <Application>Microsoft Office Word</Application>
  <DocSecurity>0</DocSecurity>
  <Lines>522</Lines>
  <Paragraphs>375</Paragraphs>
  <ScaleCrop>false</ScaleCrop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2022-01-05T19:19:00Z</dcterms:created>
  <dcterms:modified xsi:type="dcterms:W3CDTF">2022-01-05T19:19:00Z</dcterms:modified>
</cp:coreProperties>
</file>