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07111" w14:textId="090EB483" w:rsidR="00821CDB" w:rsidRDefault="00821CDB" w:rsidP="00821CDB">
      <w:pPr>
        <w:rPr>
          <w:iCs/>
          <w:sz w:val="48"/>
          <w:szCs w:val="48"/>
        </w:rPr>
      </w:pPr>
      <w:bookmarkStart w:id="0" w:name="_Hlk54857238"/>
      <w:bookmarkStart w:id="1" w:name="_Hlk56496675"/>
      <w:r>
        <w:rPr>
          <w:iCs/>
          <w:sz w:val="48"/>
          <w:szCs w:val="48"/>
        </w:rPr>
        <w:t>Supporting Information</w:t>
      </w:r>
    </w:p>
    <w:p w14:paraId="142FB253" w14:textId="77777777" w:rsidR="00821CDB" w:rsidRDefault="00821CDB" w:rsidP="00821CDB">
      <w:pPr>
        <w:rPr>
          <w:iCs/>
          <w:sz w:val="48"/>
          <w:szCs w:val="48"/>
        </w:rPr>
      </w:pPr>
    </w:p>
    <w:bookmarkEnd w:id="0"/>
    <w:bookmarkEnd w:id="1"/>
    <w:p w14:paraId="4E69B447" w14:textId="77777777" w:rsidR="00FE0BF1" w:rsidRPr="005C4CFB" w:rsidRDefault="00FE0BF1" w:rsidP="00FE0BF1">
      <w:pPr>
        <w:rPr>
          <w:iCs/>
          <w:sz w:val="48"/>
          <w:szCs w:val="48"/>
        </w:rPr>
      </w:pPr>
      <w:r>
        <w:rPr>
          <w:iCs/>
          <w:sz w:val="48"/>
          <w:szCs w:val="48"/>
        </w:rPr>
        <w:t>Implications of Additivity and Nonadditivity for Machine Learning and Deep Learning Models in Drug Design</w:t>
      </w:r>
    </w:p>
    <w:p w14:paraId="4835F4BD" w14:textId="77777777" w:rsidR="00FE0BF1" w:rsidRPr="005C4CFB" w:rsidRDefault="00FE0BF1" w:rsidP="00FE0BF1"/>
    <w:p w14:paraId="58FAD48B" w14:textId="77777777" w:rsidR="00FE0BF1" w:rsidRPr="004B363D" w:rsidRDefault="00FE0BF1" w:rsidP="00FE0BF1">
      <w:r w:rsidRPr="004B363D">
        <w:t>Karolina Kwapien</w:t>
      </w:r>
      <w:r w:rsidRPr="004B363D">
        <w:rPr>
          <w:vertAlign w:val="superscript"/>
        </w:rPr>
        <w:t>1,#,*</w:t>
      </w:r>
      <w:r w:rsidRPr="004B363D">
        <w:t>, Eva Nittinger</w:t>
      </w:r>
      <w:r w:rsidRPr="004B363D">
        <w:rPr>
          <w:vertAlign w:val="superscript"/>
        </w:rPr>
        <w:t>1,#</w:t>
      </w:r>
      <w:r w:rsidRPr="004B363D">
        <w:t>, Jiazhen He</w:t>
      </w:r>
      <w:r w:rsidRPr="004B363D">
        <w:rPr>
          <w:vertAlign w:val="superscript"/>
        </w:rPr>
        <w:t>2</w:t>
      </w:r>
      <w:r w:rsidRPr="004B363D">
        <w:t>, Christian Margreitter</w:t>
      </w:r>
      <w:r w:rsidRPr="004B363D">
        <w:rPr>
          <w:vertAlign w:val="superscript"/>
        </w:rPr>
        <w:t>2</w:t>
      </w:r>
      <w:r w:rsidRPr="004B363D">
        <w:t>, Alexey Voronov</w:t>
      </w:r>
      <w:r w:rsidRPr="004B363D">
        <w:rPr>
          <w:vertAlign w:val="superscript"/>
        </w:rPr>
        <w:t>2</w:t>
      </w:r>
      <w:r w:rsidRPr="004B363D">
        <w:t>,</w:t>
      </w:r>
      <w:r>
        <w:t xml:space="preserve"> </w:t>
      </w:r>
      <w:r w:rsidRPr="004B363D">
        <w:t>Christian Tyrchan</w:t>
      </w:r>
      <w:r w:rsidRPr="004B363D">
        <w:rPr>
          <w:vertAlign w:val="superscript"/>
        </w:rPr>
        <w:t>1</w:t>
      </w:r>
    </w:p>
    <w:p w14:paraId="29B8C931" w14:textId="77777777" w:rsidR="00FE0BF1" w:rsidRPr="005C4CFB" w:rsidRDefault="00FE0BF1" w:rsidP="00FE0BF1">
      <w:pPr>
        <w:ind w:left="284" w:hanging="284"/>
      </w:pPr>
      <w:r w:rsidRPr="005C4CFB">
        <w:rPr>
          <w:vertAlign w:val="superscript"/>
        </w:rPr>
        <w:t>1</w:t>
      </w:r>
      <w:r w:rsidRPr="005C4CFB">
        <w:tab/>
        <w:t>Medicinal Chemistry, Research and Early Development, Respiratory and Immunology (R&amp;I), BioPharmaceuticals R&amp;D, AstraZeneca, Gothenburg, Sweden</w:t>
      </w:r>
    </w:p>
    <w:p w14:paraId="310B1779" w14:textId="77777777" w:rsidR="00FE0BF1" w:rsidRPr="005C4CFB" w:rsidRDefault="00FE0BF1" w:rsidP="00FE0BF1">
      <w:pPr>
        <w:ind w:left="284" w:hanging="284"/>
      </w:pPr>
      <w:r w:rsidRPr="005C4CFB">
        <w:rPr>
          <w:vertAlign w:val="superscript"/>
        </w:rPr>
        <w:t>2</w:t>
      </w:r>
      <w:r w:rsidRPr="005C4CFB">
        <w:tab/>
      </w:r>
      <w:r>
        <w:rPr>
          <w:lang w:eastAsia="zh-CN"/>
        </w:rPr>
        <w:t>Molecular AI, Discovery Sciences, R&amp;D, AstraZeneca, Gothenburg, Sweden</w:t>
      </w:r>
    </w:p>
    <w:p w14:paraId="1190390D" w14:textId="77777777" w:rsidR="00FE0BF1" w:rsidRPr="005C4CFB" w:rsidRDefault="00FE0BF1" w:rsidP="00FE0BF1">
      <w:pPr>
        <w:ind w:left="284" w:hanging="284"/>
      </w:pPr>
      <w:r w:rsidRPr="005C4CFB">
        <w:rPr>
          <w:vertAlign w:val="superscript"/>
        </w:rPr>
        <w:t>#</w:t>
      </w:r>
      <w:r w:rsidRPr="005C4CFB">
        <w:rPr>
          <w:vertAlign w:val="superscript"/>
        </w:rPr>
        <w:tab/>
      </w:r>
      <w:r w:rsidRPr="005C4CFB">
        <w:t>Shared</w:t>
      </w:r>
      <w:r w:rsidRPr="005C4CFB">
        <w:rPr>
          <w:vertAlign w:val="superscript"/>
        </w:rPr>
        <w:t xml:space="preserve"> </w:t>
      </w:r>
      <w:r w:rsidRPr="005C4CFB">
        <w:t>first authors</w:t>
      </w:r>
    </w:p>
    <w:p w14:paraId="64E9751F" w14:textId="77777777" w:rsidR="00FE0BF1" w:rsidRDefault="00FE0BF1" w:rsidP="00FE0BF1">
      <w:pPr>
        <w:ind w:left="284" w:hanging="284"/>
      </w:pPr>
      <w:r w:rsidRPr="005C4CFB">
        <w:rPr>
          <w:vertAlign w:val="superscript"/>
        </w:rPr>
        <w:t>*</w:t>
      </w:r>
      <w:r w:rsidRPr="005C4CFB">
        <w:tab/>
        <w:t xml:space="preserve">Correspondence: </w:t>
      </w:r>
      <w:hyperlink r:id="rId5" w:history="1">
        <w:r w:rsidRPr="008729A3">
          <w:rPr>
            <w:rStyle w:val="Hyperlink"/>
          </w:rPr>
          <w:t>karolina.kwapien@astrazeneca.com</w:t>
        </w:r>
      </w:hyperlink>
    </w:p>
    <w:p w14:paraId="023EE5F4" w14:textId="05CD55C6" w:rsidR="009B6F36" w:rsidRDefault="005558EA"/>
    <w:p w14:paraId="683DE910" w14:textId="796D8BFB" w:rsidR="00D166F0" w:rsidRDefault="00D166F0" w:rsidP="00D166F0">
      <w:pPr>
        <w:pStyle w:val="Caption"/>
        <w:keepNext/>
      </w:pPr>
      <w:r>
        <w:t xml:space="preserve">Table S </w:t>
      </w:r>
      <w:r w:rsidR="005558EA">
        <w:fldChar w:fldCharType="begin"/>
      </w:r>
      <w:r w:rsidR="005558EA">
        <w:instrText xml:space="preserve"> SEQ Table_S \* ARABIC </w:instrText>
      </w:r>
      <w:r w:rsidR="005558EA">
        <w:fldChar w:fldCharType="separate"/>
      </w:r>
      <w:r>
        <w:rPr>
          <w:noProof/>
        </w:rPr>
        <w:t>1</w:t>
      </w:r>
      <w:r w:rsidR="005558EA">
        <w:rPr>
          <w:noProof/>
        </w:rPr>
        <w:fldChar w:fldCharType="end"/>
      </w:r>
      <w:r>
        <w:t xml:space="preserve">. Logarithmic conversion for the different properties analyzed; np = </w:t>
      </w:r>
      <w:proofErr w:type="spellStart"/>
      <w:r>
        <w:t>numpy</w:t>
      </w:r>
      <w:proofErr w:type="spellEnd"/>
      <w:r>
        <w:t xml:space="preserve"> library.</w:t>
      </w:r>
    </w:p>
    <w:p w14:paraId="7AA009CD" w14:textId="1B2938AB" w:rsidR="00887B67" w:rsidRPr="00887B67" w:rsidRDefault="00887B67" w:rsidP="00887B67">
      <w:r>
        <w:rPr>
          <w:noProof/>
        </w:rPr>
        <w:drawing>
          <wp:inline distT="0" distB="0" distL="0" distR="0" wp14:anchorId="176FB903" wp14:editId="4BCD330F">
            <wp:extent cx="1708150" cy="1026356"/>
            <wp:effectExtent l="0" t="0" r="6350" b="2540"/>
            <wp:docPr id="39" name="Picture 39" descr="A picture containing text, outdoor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picture containing text, outdoor, screensho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6923" cy="1043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049EC" w14:textId="2A39187E" w:rsidR="00821CDB" w:rsidRDefault="00821CDB"/>
    <w:p w14:paraId="6A5E16E4" w14:textId="77777777" w:rsidR="00E77C38" w:rsidRDefault="00E77C38" w:rsidP="00E77C38">
      <w:pPr>
        <w:keepNext/>
      </w:pPr>
      <w:r>
        <w:rPr>
          <w:noProof/>
        </w:rPr>
        <w:lastRenderedPageBreak/>
        <w:drawing>
          <wp:inline distT="0" distB="0" distL="0" distR="0" wp14:anchorId="00705D39" wp14:editId="51059617">
            <wp:extent cx="5760000" cy="23276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27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6D75A2" w14:textId="16CCF29B" w:rsidR="00E77C38" w:rsidRDefault="00E77C38" w:rsidP="00E77C38">
      <w:pPr>
        <w:pStyle w:val="Caption"/>
      </w:pPr>
      <w:r>
        <w:t xml:space="preserve">Figure S </w:t>
      </w:r>
      <w:r w:rsidR="005558EA">
        <w:fldChar w:fldCharType="begin"/>
      </w:r>
      <w:r w:rsidR="005558EA">
        <w:instrText xml:space="preserve"> SEQ Figure_S \* ARABIC </w:instrText>
      </w:r>
      <w:r w:rsidR="005558EA">
        <w:fldChar w:fldCharType="separate"/>
      </w:r>
      <w:r>
        <w:rPr>
          <w:noProof/>
        </w:rPr>
        <w:t>1</w:t>
      </w:r>
      <w:r w:rsidR="005558EA">
        <w:rPr>
          <w:noProof/>
        </w:rPr>
        <w:fldChar w:fldCharType="end"/>
      </w:r>
      <w:r>
        <w:t xml:space="preserve">. </w:t>
      </w:r>
      <w:r w:rsidR="00C968C5">
        <w:t xml:space="preserve">Determination of experimental uncertainty for logD using </w:t>
      </w:r>
      <w:proofErr w:type="spellStart"/>
      <w:r w:rsidR="00C968C5">
        <w:t>a+b</w:t>
      </w:r>
      <w:proofErr w:type="spellEnd"/>
      <w:r w:rsidR="00C968C5">
        <w:t xml:space="preserve">) multi measurements and </w:t>
      </w:r>
      <w:proofErr w:type="spellStart"/>
      <w:r w:rsidR="00C968C5">
        <w:t>c+d</w:t>
      </w:r>
      <w:proofErr w:type="spellEnd"/>
      <w:r w:rsidR="00C968C5">
        <w:t xml:space="preserve">) stereo duplicates; </w:t>
      </w:r>
      <w:proofErr w:type="spellStart"/>
      <w:r w:rsidR="00C968C5">
        <w:t>a+c</w:t>
      </w:r>
      <w:proofErr w:type="spellEnd"/>
      <w:r w:rsidR="00C968C5">
        <w:t xml:space="preserve">) Value distribution before (left) and after (right) outlier removal; </w:t>
      </w:r>
      <w:proofErr w:type="spellStart"/>
      <w:r w:rsidR="00C968C5">
        <w:t>b+d</w:t>
      </w:r>
      <w:proofErr w:type="spellEnd"/>
      <w:r w:rsidR="00C968C5">
        <w:t>) distribution of standard deviation plotted by the number of measurements.</w:t>
      </w:r>
    </w:p>
    <w:p w14:paraId="4F83E8DE" w14:textId="12896E35" w:rsidR="00C968C5" w:rsidRDefault="00C968C5" w:rsidP="00C968C5"/>
    <w:p w14:paraId="3D55ADC3" w14:textId="7074DF65" w:rsidR="00C968C5" w:rsidRDefault="00C968C5" w:rsidP="00C968C5">
      <w:r>
        <w:rPr>
          <w:noProof/>
        </w:rPr>
        <w:drawing>
          <wp:inline distT="0" distB="0" distL="0" distR="0" wp14:anchorId="7E3B943C" wp14:editId="750388BB">
            <wp:extent cx="5760000" cy="2337467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37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0ADE3" w14:textId="66203D74" w:rsidR="00C968C5" w:rsidRDefault="00C968C5" w:rsidP="00C968C5">
      <w:pPr>
        <w:pStyle w:val="Caption"/>
      </w:pPr>
      <w:r>
        <w:t xml:space="preserve">Figure S </w:t>
      </w:r>
      <w:r w:rsidR="005558EA">
        <w:fldChar w:fldCharType="begin"/>
      </w:r>
      <w:r w:rsidR="005558EA">
        <w:instrText xml:space="preserve"> SEQ Figure_S \* ARABIC </w:instrText>
      </w:r>
      <w:r w:rsidR="005558EA">
        <w:fldChar w:fldCharType="separate"/>
      </w:r>
      <w:r>
        <w:rPr>
          <w:noProof/>
        </w:rPr>
        <w:t>2</w:t>
      </w:r>
      <w:r w:rsidR="005558EA">
        <w:rPr>
          <w:noProof/>
        </w:rPr>
        <w:fldChar w:fldCharType="end"/>
      </w:r>
      <w:r>
        <w:t xml:space="preserve">. Determination of experimental uncertainty for solubility using </w:t>
      </w:r>
      <w:proofErr w:type="spellStart"/>
      <w:r>
        <w:t>a+b</w:t>
      </w:r>
      <w:proofErr w:type="spellEnd"/>
      <w:r>
        <w:t xml:space="preserve">) multi measurements and </w:t>
      </w:r>
      <w:proofErr w:type="spellStart"/>
      <w:r>
        <w:t>c+d</w:t>
      </w:r>
      <w:proofErr w:type="spellEnd"/>
      <w:r>
        <w:t xml:space="preserve">) stereo duplicates; </w:t>
      </w:r>
      <w:proofErr w:type="spellStart"/>
      <w:r>
        <w:t>a+c</w:t>
      </w:r>
      <w:proofErr w:type="spellEnd"/>
      <w:r>
        <w:t xml:space="preserve">) Value distribution before (left) and after (right) outlier removal; </w:t>
      </w:r>
      <w:proofErr w:type="spellStart"/>
      <w:r>
        <w:t>b+d</w:t>
      </w:r>
      <w:proofErr w:type="spellEnd"/>
      <w:r>
        <w:t>) distribution of standard deviation plotted by the number of measurements.</w:t>
      </w:r>
    </w:p>
    <w:p w14:paraId="4EAB13C3" w14:textId="7DE26D38" w:rsidR="00C968C5" w:rsidRDefault="00C968C5" w:rsidP="00C968C5"/>
    <w:p w14:paraId="7284F4A0" w14:textId="340A23AB" w:rsidR="00C968C5" w:rsidRDefault="00C968C5" w:rsidP="00C968C5">
      <w:r>
        <w:rPr>
          <w:noProof/>
        </w:rPr>
        <w:lastRenderedPageBreak/>
        <w:drawing>
          <wp:inline distT="0" distB="0" distL="0" distR="0" wp14:anchorId="7DF76E0B" wp14:editId="59F8ACCD">
            <wp:extent cx="5760000" cy="234637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46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AF8292" w14:textId="0C64052D" w:rsidR="00C968C5" w:rsidRDefault="00C968C5" w:rsidP="00C968C5">
      <w:pPr>
        <w:pStyle w:val="Caption"/>
      </w:pPr>
      <w:r>
        <w:t xml:space="preserve">Figure S </w:t>
      </w:r>
      <w:r w:rsidR="005558EA">
        <w:fldChar w:fldCharType="begin"/>
      </w:r>
      <w:r w:rsidR="005558EA">
        <w:instrText xml:space="preserve"> SEQ Figure_S \* ARABIC </w:instrText>
      </w:r>
      <w:r w:rsidR="005558EA">
        <w:fldChar w:fldCharType="separate"/>
      </w:r>
      <w:r>
        <w:rPr>
          <w:noProof/>
        </w:rPr>
        <w:t>3</w:t>
      </w:r>
      <w:r w:rsidR="005558EA">
        <w:rPr>
          <w:noProof/>
        </w:rPr>
        <w:fldChar w:fldCharType="end"/>
      </w:r>
      <w:r>
        <w:t xml:space="preserve">. Determination of experimental uncertainty for permeability using </w:t>
      </w:r>
      <w:proofErr w:type="spellStart"/>
      <w:r>
        <w:t>a+b</w:t>
      </w:r>
      <w:proofErr w:type="spellEnd"/>
      <w:r>
        <w:t xml:space="preserve">) multi measurements and </w:t>
      </w:r>
      <w:proofErr w:type="spellStart"/>
      <w:r>
        <w:t>c+d</w:t>
      </w:r>
      <w:proofErr w:type="spellEnd"/>
      <w:r>
        <w:t xml:space="preserve">) stereo duplicates; </w:t>
      </w:r>
      <w:proofErr w:type="spellStart"/>
      <w:r>
        <w:t>a+c</w:t>
      </w:r>
      <w:proofErr w:type="spellEnd"/>
      <w:r>
        <w:t xml:space="preserve">) Value distribution before (left) and after (right) outlier removal; </w:t>
      </w:r>
      <w:proofErr w:type="spellStart"/>
      <w:r>
        <w:t>b+d</w:t>
      </w:r>
      <w:proofErr w:type="spellEnd"/>
      <w:r>
        <w:t>) distribution of standard deviation plotted by the number of measurements.</w:t>
      </w:r>
    </w:p>
    <w:p w14:paraId="04071FE1" w14:textId="22195A28" w:rsidR="00C968C5" w:rsidRDefault="00C968C5" w:rsidP="00C968C5"/>
    <w:p w14:paraId="41A46CEC" w14:textId="10385B17" w:rsidR="00C968C5" w:rsidRDefault="00C968C5" w:rsidP="00C968C5">
      <w:r>
        <w:rPr>
          <w:noProof/>
        </w:rPr>
        <w:drawing>
          <wp:inline distT="0" distB="0" distL="0" distR="0" wp14:anchorId="03B83D04" wp14:editId="55B95408">
            <wp:extent cx="5760000" cy="2340537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40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90EC12" w14:textId="6E81F41D" w:rsidR="00C968C5" w:rsidRDefault="00C968C5" w:rsidP="00C968C5">
      <w:pPr>
        <w:pStyle w:val="Caption"/>
      </w:pPr>
      <w:r>
        <w:t xml:space="preserve">Figure S </w:t>
      </w:r>
      <w:r w:rsidR="005558EA">
        <w:fldChar w:fldCharType="begin"/>
      </w:r>
      <w:r w:rsidR="005558EA">
        <w:instrText xml:space="preserve"> SEQ Figure_S \* ARABIC </w:instrText>
      </w:r>
      <w:r w:rsidR="005558EA">
        <w:fldChar w:fldCharType="separate"/>
      </w:r>
      <w:r>
        <w:rPr>
          <w:noProof/>
        </w:rPr>
        <w:t>4</w:t>
      </w:r>
      <w:r w:rsidR="005558EA">
        <w:rPr>
          <w:noProof/>
        </w:rPr>
        <w:fldChar w:fldCharType="end"/>
      </w:r>
      <w:r>
        <w:t xml:space="preserve">. Determination of experimental uncertainty for clearance using </w:t>
      </w:r>
      <w:proofErr w:type="spellStart"/>
      <w:r>
        <w:t>a+b</w:t>
      </w:r>
      <w:proofErr w:type="spellEnd"/>
      <w:r>
        <w:t xml:space="preserve">) multi measurements and </w:t>
      </w:r>
      <w:proofErr w:type="spellStart"/>
      <w:r>
        <w:t>c+d</w:t>
      </w:r>
      <w:proofErr w:type="spellEnd"/>
      <w:r>
        <w:t xml:space="preserve">) stereo duplicates; </w:t>
      </w:r>
      <w:proofErr w:type="spellStart"/>
      <w:r>
        <w:t>a+c</w:t>
      </w:r>
      <w:proofErr w:type="spellEnd"/>
      <w:r>
        <w:t xml:space="preserve">) Value distribution before (left) and after (right) outlier removal; </w:t>
      </w:r>
      <w:proofErr w:type="spellStart"/>
      <w:r>
        <w:t>b+d</w:t>
      </w:r>
      <w:proofErr w:type="spellEnd"/>
      <w:r>
        <w:t>) distribution of standard deviation plotted by the number of measurements.</w:t>
      </w:r>
    </w:p>
    <w:p w14:paraId="5D0B4D7B" w14:textId="787AE824" w:rsidR="00C968C5" w:rsidRDefault="00C968C5" w:rsidP="00C968C5"/>
    <w:p w14:paraId="1E28A065" w14:textId="35001A90" w:rsidR="00FE0BF1" w:rsidRDefault="00FE0BF1" w:rsidP="00C968C5"/>
    <w:p w14:paraId="6007CB78" w14:textId="2615AD89" w:rsidR="00FE0BF1" w:rsidRDefault="00FE0BF1" w:rsidP="00C968C5"/>
    <w:p w14:paraId="28AF2CAC" w14:textId="63519C66" w:rsidR="00FE0BF1" w:rsidRDefault="00FE0BF1" w:rsidP="00C968C5"/>
    <w:p w14:paraId="4CE9CDB2" w14:textId="4084FAEF" w:rsidR="00FE0BF1" w:rsidRDefault="00FE0BF1" w:rsidP="00C968C5"/>
    <w:p w14:paraId="489B716C" w14:textId="0E5B2AD5" w:rsidR="00FE0BF1" w:rsidRDefault="00FE0BF1" w:rsidP="00C968C5"/>
    <w:p w14:paraId="5A86E4C0" w14:textId="04027C82" w:rsidR="00FE0BF1" w:rsidRDefault="00FE0BF1" w:rsidP="00C968C5"/>
    <w:p w14:paraId="6E6F4A23" w14:textId="7CDDDF9E" w:rsidR="00FE0BF1" w:rsidRDefault="00FE0BF1" w:rsidP="00C968C5">
      <w:r>
        <w:rPr>
          <w:noProof/>
        </w:rPr>
        <w:lastRenderedPageBreak/>
        <w:drawing>
          <wp:inline distT="0" distB="0" distL="0" distR="0" wp14:anchorId="3DE9AEDA" wp14:editId="506CE6C4">
            <wp:extent cx="5632450" cy="3775455"/>
            <wp:effectExtent l="0" t="0" r="6350" b="0"/>
            <wp:docPr id="36" name="Picture 3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scatter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024" cy="378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8983F" w14:textId="2E0EFBE3" w:rsidR="00FE0BF1" w:rsidRDefault="00FE0BF1" w:rsidP="00887B67">
      <w:pPr>
        <w:pStyle w:val="Caption"/>
      </w:pPr>
      <w:r>
        <w:t xml:space="preserve">Figure S 5. </w:t>
      </w:r>
      <w:r w:rsidR="00887B67">
        <w:t xml:space="preserve">Predicted versus measured values for logD. Comparison between RF (blue) and DNN-S_20 (orange) for a) </w:t>
      </w:r>
      <w:r w:rsidR="00887B67" w:rsidRPr="00452F43">
        <w:t>Set 3</w:t>
      </w:r>
      <w:r w:rsidR="00887B67">
        <w:t xml:space="preserve"> (only additive data) and b) </w:t>
      </w:r>
      <w:r w:rsidR="00887B67" w:rsidRPr="00452F43">
        <w:t>Set 4</w:t>
      </w:r>
      <w:r w:rsidR="00887B67">
        <w:t xml:space="preserve"> (only nonadditive data). </w:t>
      </w:r>
    </w:p>
    <w:p w14:paraId="5BC88564" w14:textId="36B22BBD" w:rsidR="00C026D1" w:rsidRDefault="00C026D1" w:rsidP="00C026D1"/>
    <w:p w14:paraId="6C44C667" w14:textId="257C47F8" w:rsidR="00C026D1" w:rsidRDefault="00C026D1" w:rsidP="00C026D1"/>
    <w:p w14:paraId="2BE1B3F6" w14:textId="0CC1A70F" w:rsidR="00C026D1" w:rsidRDefault="00C026D1" w:rsidP="00C026D1"/>
    <w:p w14:paraId="7C3290E2" w14:textId="3AED3546" w:rsidR="00C026D1" w:rsidRDefault="00C026D1" w:rsidP="00C026D1"/>
    <w:p w14:paraId="39218BFB" w14:textId="77777777" w:rsidR="00C026D1" w:rsidRPr="00C026D1" w:rsidRDefault="00C026D1" w:rsidP="00C026D1"/>
    <w:p w14:paraId="3675BDAE" w14:textId="777546A9" w:rsidR="00FE0BF1" w:rsidRDefault="00FE0BF1" w:rsidP="00C968C5">
      <w:r>
        <w:rPr>
          <w:noProof/>
        </w:rPr>
        <w:lastRenderedPageBreak/>
        <w:drawing>
          <wp:inline distT="0" distB="0" distL="0" distR="0" wp14:anchorId="0689624F" wp14:editId="02D5CA96">
            <wp:extent cx="5760720" cy="3847465"/>
            <wp:effectExtent l="0" t="0" r="0" b="635"/>
            <wp:docPr id="37" name="Picture 3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scatte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4BE5F" w14:textId="377CEE61" w:rsidR="00887B67" w:rsidRDefault="00887B67" w:rsidP="00887B67">
      <w:pPr>
        <w:pStyle w:val="Caption"/>
      </w:pPr>
      <w:r>
        <w:t xml:space="preserve">Figure S 6. Predicted versus measured values for permeability. Comparison between RF (blue) and DNN-S_20 (orange) for a) </w:t>
      </w:r>
      <w:r w:rsidRPr="00452F43">
        <w:t>Set 3</w:t>
      </w:r>
      <w:r>
        <w:t xml:space="preserve"> (only additive data) and b) </w:t>
      </w:r>
      <w:r w:rsidRPr="00452F43">
        <w:t>Set 4</w:t>
      </w:r>
      <w:r>
        <w:t xml:space="preserve"> (only nonadditive data).</w:t>
      </w:r>
      <w:r w:rsidRPr="00887B67">
        <w:t xml:space="preserve"> </w:t>
      </w:r>
      <w:r>
        <w:t xml:space="preserve">The values are in log units. </w:t>
      </w:r>
    </w:p>
    <w:p w14:paraId="4DFF35FB" w14:textId="52C6BBB1" w:rsidR="00C026D1" w:rsidRDefault="00C026D1" w:rsidP="00C026D1"/>
    <w:p w14:paraId="2D1B6984" w14:textId="0FABBC3B" w:rsidR="00C026D1" w:rsidRDefault="00C026D1" w:rsidP="00C026D1"/>
    <w:p w14:paraId="4A60DDA7" w14:textId="01242EAE" w:rsidR="00C026D1" w:rsidRDefault="00C026D1" w:rsidP="00C026D1"/>
    <w:p w14:paraId="641F88F9" w14:textId="77777777" w:rsidR="00C026D1" w:rsidRPr="00C026D1" w:rsidRDefault="00C026D1" w:rsidP="00C026D1"/>
    <w:p w14:paraId="75B079BF" w14:textId="11F7B8E3" w:rsidR="00FE0BF1" w:rsidRDefault="00FE0BF1" w:rsidP="00C968C5">
      <w:r>
        <w:rPr>
          <w:noProof/>
        </w:rPr>
        <w:lastRenderedPageBreak/>
        <w:drawing>
          <wp:inline distT="0" distB="0" distL="0" distR="0" wp14:anchorId="5FE90410" wp14:editId="4A8D786B">
            <wp:extent cx="5760720" cy="3863340"/>
            <wp:effectExtent l="0" t="0" r="0" b="3810"/>
            <wp:docPr id="38" name="Picture 3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hart, scatter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D6B13" w14:textId="55DA2E92" w:rsidR="00887B67" w:rsidRDefault="00887B67" w:rsidP="00887B67">
      <w:pPr>
        <w:pStyle w:val="Caption"/>
      </w:pPr>
      <w:r>
        <w:t xml:space="preserve">Figure S 7. Predicted versus measured values for clearance. Comparison between RF (blue) and DNN-S_20 (orange) for a) </w:t>
      </w:r>
      <w:r w:rsidRPr="00452F43">
        <w:t>Set 3</w:t>
      </w:r>
      <w:r>
        <w:t xml:space="preserve"> (only additive data) and b) </w:t>
      </w:r>
      <w:r w:rsidRPr="00452F43">
        <w:t>Set 4</w:t>
      </w:r>
      <w:r>
        <w:t xml:space="preserve"> (only nonadditive data). The values are in log units. </w:t>
      </w:r>
    </w:p>
    <w:p w14:paraId="677C9D5A" w14:textId="77777777" w:rsidR="00887B67" w:rsidRDefault="00887B67" w:rsidP="00C968C5"/>
    <w:p w14:paraId="251E7D15" w14:textId="1DB16506" w:rsidR="00FE0BF1" w:rsidRDefault="00FE0BF1" w:rsidP="00C968C5"/>
    <w:p w14:paraId="397D5B37" w14:textId="19212420" w:rsidR="00FE0BF1" w:rsidRDefault="00FE0BF1" w:rsidP="00C968C5"/>
    <w:p w14:paraId="27739C9E" w14:textId="194C2DB2" w:rsidR="00FE0BF1" w:rsidRDefault="00FE0BF1" w:rsidP="00C968C5"/>
    <w:p w14:paraId="1A81C668" w14:textId="7FA534DB" w:rsidR="00FE0BF1" w:rsidRDefault="00FE0BF1" w:rsidP="00C968C5"/>
    <w:p w14:paraId="7FE9B4C9" w14:textId="43C96D58" w:rsidR="00FE0BF1" w:rsidRDefault="00FE0BF1" w:rsidP="00C968C5"/>
    <w:p w14:paraId="21749938" w14:textId="77777777" w:rsidR="00FE0BF1" w:rsidRPr="00C968C5" w:rsidRDefault="00FE0BF1" w:rsidP="00C968C5"/>
    <w:sectPr w:rsidR="00FE0BF1" w:rsidRPr="00C968C5" w:rsidSect="00FE5F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B"/>
    <w:rsid w:val="00077953"/>
    <w:rsid w:val="00107F25"/>
    <w:rsid w:val="00242EE3"/>
    <w:rsid w:val="00437C0F"/>
    <w:rsid w:val="005018A9"/>
    <w:rsid w:val="005558EA"/>
    <w:rsid w:val="00821CDB"/>
    <w:rsid w:val="00887B67"/>
    <w:rsid w:val="008C66FE"/>
    <w:rsid w:val="00C026D1"/>
    <w:rsid w:val="00C968C5"/>
    <w:rsid w:val="00CF1E28"/>
    <w:rsid w:val="00D166F0"/>
    <w:rsid w:val="00E77C38"/>
    <w:rsid w:val="00FE0BF1"/>
    <w:rsid w:val="00FE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8D510E"/>
  <w15:chartTrackingRefBased/>
  <w15:docId w15:val="{0C44B606-BCD3-4B55-8D15-56D8F91FB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CDB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1CD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21CDB"/>
    <w:pPr>
      <w:spacing w:before="100" w:beforeAutospacing="1" w:after="100" w:afterAutospacing="1" w:line="240" w:lineRule="auto"/>
      <w:jc w:val="left"/>
    </w:pPr>
  </w:style>
  <w:style w:type="paragraph" w:styleId="Caption">
    <w:name w:val="caption"/>
    <w:basedOn w:val="Normal"/>
    <w:next w:val="Normal"/>
    <w:uiPriority w:val="35"/>
    <w:unhideWhenUsed/>
    <w:qFormat/>
    <w:rsid w:val="00D166F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555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9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karolina.kwapien@astrazeneca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79118-7414-465E-847A-2A533E272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410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Nittinger, Eva</dc:creator>
  <cp:keywords/>
  <dc:description/>
  <cp:lastModifiedBy>Kwapień, Karolina</cp:lastModifiedBy>
  <cp:revision>4</cp:revision>
  <dcterms:created xsi:type="dcterms:W3CDTF">2021-12-02T20:07:00Z</dcterms:created>
  <dcterms:modified xsi:type="dcterms:W3CDTF">2021-12-16T11:51:00Z</dcterms:modified>
</cp:coreProperties>
</file>