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F65E2C" w14:textId="77777777" w:rsidR="00DB7E9C" w:rsidRDefault="00DB7E9C">
      <w:pPr>
        <w:pStyle w:val="Body"/>
        <w:spacing w:line="288" w:lineRule="auto"/>
        <w:jc w:val="both"/>
        <w:rPr>
          <w:i/>
          <w:iCs/>
        </w:rPr>
      </w:pPr>
    </w:p>
    <w:p w14:paraId="45879773" w14:textId="77777777" w:rsidR="00DB7E9C" w:rsidRDefault="003E50C0">
      <w:pPr>
        <w:pStyle w:val="Heading"/>
        <w:rPr>
          <w:sz w:val="24"/>
          <w:szCs w:val="24"/>
        </w:rPr>
      </w:pPr>
      <w:r>
        <w:rPr>
          <w:sz w:val="24"/>
          <w:szCs w:val="24"/>
        </w:rPr>
        <w:t>Supplementary Methods</w:t>
      </w:r>
    </w:p>
    <w:p w14:paraId="7DC9EBF8" w14:textId="77777777" w:rsidR="00DB7E9C" w:rsidRDefault="00DB7E9C">
      <w:pPr>
        <w:pStyle w:val="Body"/>
        <w:spacing w:line="288" w:lineRule="auto"/>
        <w:jc w:val="both"/>
        <w:rPr>
          <w:i/>
          <w:iCs/>
        </w:rPr>
      </w:pPr>
    </w:p>
    <w:p w14:paraId="466E7717" w14:textId="77777777" w:rsidR="00DB7E9C" w:rsidRDefault="003E50C0">
      <w:pPr>
        <w:pStyle w:val="Body"/>
        <w:spacing w:line="288" w:lineRule="auto"/>
        <w:jc w:val="both"/>
        <w:rPr>
          <w:i/>
          <w:iCs/>
        </w:rPr>
      </w:pPr>
      <w:r>
        <w:rPr>
          <w:i/>
          <w:iCs/>
          <w:lang w:val="en-US"/>
        </w:rPr>
        <w:t>SARS-CoV-2 antibody testing</w:t>
      </w:r>
    </w:p>
    <w:p w14:paraId="16DB79B6" w14:textId="77777777" w:rsidR="00DB7E9C" w:rsidRDefault="003E50C0">
      <w:pPr>
        <w:pStyle w:val="Body"/>
        <w:spacing w:line="288" w:lineRule="auto"/>
        <w:jc w:val="both"/>
      </w:pPr>
      <w:r>
        <w:rPr>
          <w:lang w:val="en-US"/>
        </w:rPr>
        <w:t>Participants were offered the opportunity to participate via venous blood sampling requiring hospital visits, or remotely via analysis of self-collected dried blood spots (DBS). Serological responses to SARS-CoV-2 vaccination were determined using and a</w:t>
      </w:r>
      <w:proofErr w:type="spellStart"/>
      <w:r>
        <w:rPr>
          <w:lang w:val="de-DE"/>
        </w:rPr>
        <w:t>nti</w:t>
      </w:r>
      <w:r>
        <w:rPr>
          <w:lang w:val="de-DE"/>
        </w:rPr>
        <w:t>-IgG</w:t>
      </w:r>
      <w:proofErr w:type="spellEnd"/>
      <w:r>
        <w:rPr>
          <w:lang w:val="de-DE"/>
        </w:rPr>
        <w:t>/A/M SARS-CoV-2 ELISA</w:t>
      </w:r>
      <w:r>
        <w:rPr>
          <w:lang w:val="en-US"/>
        </w:rPr>
        <w:t xml:space="preserve"> (The Binding Site, Birmingham, UK), an assay previously validated to have  a sensitivity and specificity of 98.6% and 98.3% respectively </w:t>
      </w:r>
      <w:r>
        <w:fldChar w:fldCharType="begin"/>
      </w:r>
      <w:r>
        <w:instrText xml:space="preserve"> ADDIN EN.CITE &lt;EndNote&gt;&lt;Cite  &gt;&lt;Author&gt;Cook, A. M.; Faustini, S. E.; Williams, L. J.; Cunnin</w:instrText>
      </w:r>
      <w:r>
        <w:instrText>gham, A. F.; Drayson, M. T.; Shields, A. M.; Kay, D.; Taylor, L.; Plant, T.; Huissoon, A.; Wallis, G.; Beck, S.; Jossi, S. E.; Perez-Toledo, M.; Newby, M. L.; Allen, J. D.; Crispin, M.; Harding, S.; Richter, A. G.&lt;/Author&gt;&lt;Year&gt;2021&lt;/Year&gt;&lt;Prefix&gt;&lt;/Prefix&gt;</w:instrText>
      </w:r>
      <w:r>
        <w:instrText>&lt;Suffix&gt;&lt;/Suffix&gt;&lt;Pages&gt;&lt;/Pages&gt;&lt;DisplayText&gt;[1]&lt;/DisplayText&gt;&lt;record&gt;&lt;database name="Lancet public health paper.enl" path="/Users/adrianshields/Documents/COVID Lancet Public Health/Lancet public health paper.enl"&gt;Lancet public health paper.enl&lt;/database&gt;&lt;</w:instrText>
      </w:r>
      <w:r>
        <w:instrText>source-app name="EndNote" version="19.3"&gt;EndNote&lt;/source-app&gt;&lt;rec-number&gt;166&lt;/rec-number&gt;&lt;foreign-keys&gt;&lt;key app="EN" db-id="ap9eww9rcpt9wcexpd952rwdva90rxf95xxa"&gt;166&lt;/key&gt;&lt;/foreign-keys&gt;&lt;ref-type name="Journal Article"&gt;17&lt;/ref-type&gt;&lt;contributors&gt;&lt;authors&gt;&lt;</w:instrText>
      </w:r>
      <w:r>
        <w:instrText>author&gt;&lt;style face="normal" font="default" size="100%"&gt;Cook, A. M.&lt;/style&gt;&lt;/author&gt;&lt;author&gt;&lt;style face="normal" font="default" size="100%"&gt;Faustini, S. E.&lt;/style&gt;&lt;/author&gt;&lt;author&gt;&lt;style face="normal" font="default" size="100%"&gt;Williams, L. J.&lt;/style&gt;&lt;/auth</w:instrText>
      </w:r>
      <w:r>
        <w:instrText>or&gt;&lt;author&gt;&lt;style face="normal" font="default" size="100%"&gt;Cunningham, A. F.&lt;/style&gt;&lt;/author&gt;&lt;author&gt;&lt;style face="normal" font="default" size="100%"&gt;Drayson, M. T.&lt;/style&gt;&lt;/author&gt;&lt;author&gt;&lt;style face="normal" font="default" size="100%"&gt;Shields, A. M.&lt;/styl</w:instrText>
      </w:r>
      <w:r>
        <w:instrText>e&gt;&lt;/author&gt;&lt;author&gt;&lt;style face="normal" font="default" size="100%"&gt;Kay, D.&lt;/style&gt;&lt;/author&gt;&lt;author&gt;&lt;style face="normal" font="default" size="100%"&gt;Taylor, L.&lt;/style&gt;&lt;/author&gt;&lt;author&gt;&lt;style face="normal" font="default" size="100%"&gt;Plant, T.&lt;/style&gt;&lt;/author&gt;</w:instrText>
      </w:r>
      <w:r>
        <w:instrText>&lt;author&gt;&lt;style face="normal" font="default" size="100%"&gt;Huissoon, A.&lt;/style&gt;&lt;/author&gt;&lt;author&gt;&lt;style face="normal" font="default" size="100%"&gt;Wallis, G.&lt;/style&gt;&lt;/author&gt;&lt;author&gt;&lt;style face="normal" font="default" size="100%"&gt;Beck, S.&lt;/style&gt;&lt;/author&gt;&lt;author</w:instrText>
      </w:r>
      <w:r>
        <w:instrText>&gt;&lt;style face="normal" font="default" size="100%"&gt;Jossi, S. E.&lt;/style&gt;&lt;/author&gt;&lt;author&gt;&lt;style face="normal" font="default" size="100%"&gt;Perez-Toledo, M.&lt;/style&gt;&lt;/author&gt;&lt;author&gt;&lt;style face="normal" font="default" size="100%"&gt;Newby, M. L.&lt;/style&gt;&lt;/author&gt;&lt;aut</w:instrText>
      </w:r>
      <w:r>
        <w:instrText>hor&gt;&lt;style face="normal" font="default" size="100%"&gt;Allen, J. D.&lt;/style&gt;&lt;/author&gt;&lt;author&gt;&lt;style face="normal" font="default" size="100%"&gt;Crispin, M.&lt;/style&gt;&lt;/author&gt;&lt;author&gt;&lt;style face="normal" font="default" size="100%"&gt;Harding, S.&lt;/style&gt;&lt;/author&gt;&lt;author</w:instrText>
      </w:r>
      <w:r>
        <w:instrText>&gt;&lt;style face="normal" font="default" size="100%"&gt;Richter, A. G.&lt;/style&gt;&lt;/author&gt;&lt;/authors&gt;&lt;/contributors&gt;&lt;auth-address&gt;&lt;style face="normal" font="default" size="100%"&gt;The Binding Site Group Ltd, 8 Calthorpe Road, Birmingham B15 1QT, UK. Clinical Immunology</w:instrText>
      </w:r>
      <w:r>
        <w:instrText xml:space="preserve"> Service, University of Birmingham College of Medical and Dental Sciences, Birmingham B15 2TT, UK. The Binding Site Group Ltd, 8 Calthorpe Road, Birmingham B15 1QT, UK. Electronic address: Leigh.Williams@bindingsite.com. Institute of Immunology and Immunot</w:instrText>
      </w:r>
      <w:r>
        <w:instrText>herapy, University of Birmingham, Birmingham B15 2TT, UK. Clinical Immunology Service, University of Birmingham College of Medical and Dental Sciences, Birmingham B15 2TT, UK; University Hospitals Birmingham, NHS Foundation Trust, Birmingham B15 2GW, UK. T</w:instrText>
      </w:r>
      <w:r>
        <w:instrText xml:space="preserve">he Royal Wolverhampton NHS Trust, Wolverhampton Road, Wolverhampton, West Midlands WV10 0QP, UK. Institute of Immunology and Immunotherapy, University of Birmingham, Birmingham B15 2TT, UK; University Hospitals Birmingham, NHS Foundation Trust, Birmingham </w:instrText>
      </w:r>
      <w:r>
        <w:instrText>B15 2GW, UK. University Hospitals Birmingham, NHS Foundation Trust, Birmingham B15 2GW, UK. School of Biological Sciences, University of Southampton, Southampton SO17 1BJ, UK.&lt;/style&gt;&lt;/auth-address&gt;&lt;titles&gt;&lt;title&gt;&lt;style face="normal" font="default" size="1</w:instrText>
      </w:r>
      <w:r>
        <w:instrText>00%"&gt;Validation of a combined ELISA to detect IgG, IgA and IgM antibody responses to SARS-CoV-2 in mild or moderate non-hospitalised patients&lt;/style&gt;&lt;/title&gt;&lt;secondary-title&gt;&lt;style face="normal" font="default" size="100%"&gt;J Immunol Methods&lt;/style&gt;&lt;/seconda</w:instrText>
      </w:r>
      <w:r>
        <w:instrText>ry-title&gt;&lt;/titles&gt;&lt;periodical&gt;&lt;full-title&gt;&lt;style face="normal" font="default" size="100%"&gt;J Immunol Methods&lt;/style&gt;&lt;/full-title&gt;&lt;/periodical&gt;&lt;pages&gt;&lt;style face="normal" font="default" size="100%"&gt;113046&lt;/style&gt;&lt;/pages&gt;&lt;volume&gt;&lt;style face="normal" font="def</w:instrText>
      </w:r>
      <w:r>
        <w:instrText>ault" size="100%"&gt;494&lt;/style&gt;&lt;/volume&gt;&lt;edition&gt;&lt;style face="normal" font="default" size="100%"&gt;2021/03/30&lt;/style&gt;&lt;/edition&gt;&lt;keywords&gt;&lt;keyword&gt;&lt;style face="normal" font="default" size="100%"&gt;Covid-19&lt;/style&gt;&lt;/keyword&gt;&lt;keyword&gt;&lt;style face="normal" font="defa</w:instrText>
      </w:r>
      <w:r>
        <w:instrText>ult" size="100%"&gt;Dried blood spot&lt;/style&gt;&lt;/keyword&gt;&lt;keyword&gt;&lt;style face="normal" font="default" size="100%"&gt;Low prevalence&lt;/style&gt;&lt;/keyword&gt;&lt;keyword&gt;&lt;style face="normal" font="default" size="100%"&gt;Mild disease&lt;/style&gt;&lt;/keyword&gt;&lt;keyword&gt;&lt;style face="normal"</w:instrText>
      </w:r>
      <w:r>
        <w:instrText xml:space="preserve"> font="default" size="100%"&gt;Serological&lt;/style&gt;&lt;/keyword&gt;&lt;keyword&gt;&lt;style face="normal" font="default" size="100%"&gt;Trimeric spike protein&lt;/style&gt;&lt;/keyword&gt;&lt;/keywords&gt;&lt;dates&gt;&lt;year&gt;&lt;style face="normal" font="default" size="100%"&gt;2021&lt;/style&gt;&lt;/year&gt;&lt;pub-dates&gt;</w:instrText>
      </w:r>
      <w:r>
        <w:instrText>&lt;date&gt;&lt;style face="normal" font="default" size="100%"&gt;Mar 26&lt;/style&gt;&lt;/date&gt;&lt;/pub-dates&gt;&lt;/dates&gt;&lt;isbn&gt;&lt;style face="normal" font="default" size="100%"&gt;0022-1759 (Print) 0022-1759&lt;/style&gt;&lt;/isbn&gt;&lt;accession-num&gt;&lt;style face="normal" font="default" size="100%"&gt;33</w:instrText>
      </w:r>
      <w:r>
        <w:instrText>775672&lt;/style&gt;&lt;/accession-num&gt;&lt;abstract&gt;&lt;style face="normal" font="default" size="100%"&gt;BACKGROUND: Frequently SARS-CoV-2 results in mild or moderate disease with potentially lower concentrations of antibodies compared to those that are hospitalised. Here,</w:instrText>
      </w:r>
      <w:r>
        <w:instrText xml:space="preserve"> we validated an ELISA using SARS-CoV-2 trimeric spike glycoprotein, with targeted detection of IgG, IgA and IgM (IgGAM) using serum and dried blood spots (DBS) from adults with mild or moderate disease. METHODS: Targeting the SARS-CoV-2 trimeric spike, a </w:instrText>
      </w:r>
      <w:r>
        <w:instrText>combined anti-IgG, IgA and IgM serology ELISA assay was developed using 62 PCR-confirmed non-hospitalised, mild or moderate COVID-19 samples, ≥14 days post symptom onset and 624 COVID-19 negative samples. The assay was validated using 73 PCR-confirmed non-</w:instrText>
      </w:r>
      <w:r>
        <w:instrText>hospitalised, mild or moderate COVID-19 samples, ≥14 days post symptom onset and 359 COVID-19 negative serum samples with an additional 81 DBSs. The assay was further validated in 226 PCR-confirmed non-hospitalised, mild or moderate COVID-19 samples, ≥14 d</w:instrText>
      </w:r>
      <w:r>
        <w:instrText>ays post symptom onset and 426 COVID-19 negative clinical samples. RESULTS: A sensitivity and specificity of 98.6% (95% CI, 92.6-100.0), 98.3% (95% CI, 96.4-99.4), respectively, was observed following validation of the SARS-CoV-2 ELISA. No cross-reactiviti</w:instrText>
      </w:r>
      <w:r>
        <w:instrText>es with endemic coronaviruses or other human viruses were observed, and no change in results were recorded for interfering substances. The assay was stable at temperature extremes and components were stable for 15 days once opened. A matrix comparison show</w:instrText>
      </w:r>
      <w:r>
        <w:instrText>ed DBS to correlate with serum results. Clinical validation of the assay reported a sensitivity of 94.7% (95% CI, 90.9-97.2%) and a specificity of 98.4% (95% CI, 96.6-99.3%). CONCLUSIONS: The human anti-IgGAM SARS-CoV-2 ELISA provides accurate and sensitiv</w:instrText>
      </w:r>
      <w:r>
        <w:instrText>e detection of SARS-CoV-2 antibodies in non-hospitalised adults with mild or moderate disease. The use of dried blood spots makes the assay accessible to the wider community.&lt;/style&gt;&lt;/abstract&gt;&lt;notes&gt;&lt;style face="normal" font="default" size="100%"&gt;1872-790</w:instrText>
      </w:r>
      <w:r>
        <w:instrText>5 Cook, A M Faustini, S E Williams, L J Cunningham, A F Drayson, M T Shields, A M Kay, D Taylor, L Plant, T Huissoon, A Wallis, G Beck, S Jossi, S E Perez-Toledo, M Newby, M L Allen, J D Crispin, M Harding, S Richter, A G Journal Article J Immunol Methods.</w:instrText>
      </w:r>
      <w:r>
        <w:instrText xml:space="preserve"> 2021 Mar 26;494:113046. doi: 10.1016/j.jim.2021.113046.&lt;/style&gt;&lt;/notes&gt;&lt;urls&gt;&lt;/urls&gt;&lt;custom2&gt;&lt;style face="normal" font="default" size="100%"&gt;PMC7997147&lt;/style&gt;&lt;/custom2&gt;&lt;electronic-resource-num&gt;&lt;style face="normal" font="default" size="100%"&gt;10.1016/j.jim</w:instrText>
      </w:r>
      <w:r>
        <w:instrText>.2021.113046&lt;/style&gt;&lt;/electronic-resource-num&gt;&lt;remote-database-provider&gt;&lt;style face="normal" font="default" size="100%"&gt;NLM&lt;/style&gt;&lt;/remote-database-provider&gt;&lt;language&gt;&lt;style face="normal" font="default" size="100%"&gt;eng&lt;/style&gt;&lt;/language&gt;&lt;/record&gt;&lt;/Cite&gt;&lt;/</w:instrText>
      </w:r>
      <w:r>
        <w:instrText>EndNote&gt;</w:instrText>
      </w:r>
      <w:r>
        <w:fldChar w:fldCharType="separate"/>
      </w:r>
      <w:r>
        <w:rPr>
          <w:lang w:val="pt-PT"/>
        </w:rPr>
        <w:t>[1]</w:t>
      </w:r>
      <w:r>
        <w:fldChar w:fldCharType="end"/>
      </w:r>
      <w:r>
        <w:rPr>
          <w:lang w:val="en-US"/>
        </w:rPr>
        <w:t xml:space="preserve">. This method was used to </w:t>
      </w:r>
      <w:proofErr w:type="spellStart"/>
      <w:r>
        <w:rPr>
          <w:lang w:val="en-US"/>
        </w:rPr>
        <w:t>analyse</w:t>
      </w:r>
      <w:proofErr w:type="spellEnd"/>
      <w:r>
        <w:rPr>
          <w:lang w:val="en-US"/>
        </w:rPr>
        <w:t xml:space="preserve"> both serum and DBS samples; these methods have previously demonstrated a high degree of concordance   </w:t>
      </w:r>
      <w:r>
        <w:fldChar w:fldCharType="begin"/>
      </w:r>
      <w:r>
        <w:instrText xml:space="preserve"> ADDIN EN.CITE &lt;EndNote&gt;&lt;Cite  &gt;&lt;Author&gt;Morley, G. L.; Taylor, S.; Jossi, S.; Perez-Toledo, M.; Faustini, </w:instrText>
      </w:r>
      <w:r>
        <w:instrText>S. E.; Marcial-Juarez, E.; Shields, A. M.; Goodall, M.; Allen, J. D.; Watanabe, Y.; Newby, M. L.; Crispin, M.; Drayson, M. T.; Cunningham, A. F.; Richter, A. G.; O'Shea, M. K.&lt;/Author&gt;&lt;Year&gt;2020&lt;/Year&gt;&lt;RecNum&gt;240&lt;/RecNum&gt;&lt;Prefix&gt;&lt;/Prefix&gt;&lt;Suffix&gt;&lt;/Suffix&gt;&lt;</w:instrText>
      </w:r>
      <w:r>
        <w:instrText>Pages&gt;&lt;/Pages&gt;&lt;DisplayText&gt;[2]&lt;/DisplayText&gt;&lt;record&gt;&lt;database name="Lancet public health paper.enl" path="/Users/adrianshields/Documents/COVID Lancet Public Health/Lancet public health paper.enl"&gt;Lancet public health paper.enl&lt;/database&gt;&lt;source-app name="E</w:instrText>
      </w:r>
      <w:r>
        <w:instrText>ndNote" version="19.3"&gt;EndNote&lt;/source-app&gt;&lt;rec-number&gt;240&lt;/rec-number&gt;&lt;foreign-keys&gt;&lt;key app="EN" db-id="ap9eww9rcpt9wcexpd952rwdva90rxf95xxa"&gt;240&lt;/key&gt;&lt;/foreign-keys&gt;&lt;ref-type name="Journal Article"&gt;17&lt;/ref-type&gt;&lt;contributors&gt;&lt;authors&gt;&lt;author&gt;&lt;style face</w:instrText>
      </w:r>
      <w:r>
        <w:instrText>="normal" font="default" size="100%"&gt;Morley, G. L.&lt;/style&gt;&lt;/author&gt;&lt;author&gt;&lt;style face="normal" font="default" size="100%"&gt;Taylor, S.&lt;/style&gt;&lt;/author&gt;&lt;author&gt;&lt;style face="normal" font="default" size="100%"&gt;Jossi, S.&lt;/style&gt;&lt;/author&gt;&lt;author&gt;&lt;style face="nor</w:instrText>
      </w:r>
      <w:r>
        <w:instrText>mal" font="default" size="100%"&gt;Perez-Toledo, M.&lt;/style&gt;&lt;/author&gt;&lt;author&gt;&lt;style face="normal" font="default" size="100%"&gt;Faustini, S. E.&lt;/style&gt;&lt;/author&gt;&lt;author&gt;&lt;style face="normal" font="default" size="100%"&gt;Marcial-Juarez, E.&lt;/style&gt;&lt;/author&gt;&lt;author&gt;&lt;sty</w:instrText>
      </w:r>
      <w:r>
        <w:instrText>le face="normal" font="default" size="100%"&gt;Shields, A. M.&lt;/style&gt;&lt;/author&gt;&lt;author&gt;&lt;style face="normal" font="default" size="100%"&gt;Goodall, M.&lt;/style&gt;&lt;/author&gt;&lt;author&gt;&lt;style face="normal" font="default" size="100%"&gt;Allen, J. D.&lt;/style&gt;&lt;/author&gt;&lt;author&gt;&lt;sty</w:instrText>
      </w:r>
      <w:r>
        <w:instrText>le face="normal" font="default" size="100%"&gt;Watanabe, Y.&lt;/style&gt;&lt;/author&gt;&lt;author&gt;&lt;style face="normal" font="default" size="100%"&gt;Newby, M. L.&lt;/style&gt;&lt;/author&gt;&lt;author&gt;&lt;style face="normal" font="default" size="100%"&gt;Crispin, M.&lt;/style&gt;&lt;/author&gt;&lt;author&gt;&lt;style</w:instrText>
      </w:r>
      <w:r>
        <w:instrText xml:space="preserve"> face="normal" font="default" size="100%"&gt;Drayson, M. T.&lt;/style&gt;&lt;/author&gt;&lt;author&gt;&lt;style face="normal" font="default" size="100%"&gt;Cunningham, A. F.&lt;/style&gt;&lt;/author&gt;&lt;author&gt;&lt;style face="normal" font="default" size="100%"&gt;Richter, A. G.&lt;/style&gt;&lt;/author&gt;&lt;autho</w:instrText>
      </w:r>
      <w:r>
        <w:instrText>r&gt;&lt;style face="normal" font="default" size="100%"&gt;O'Shea, M. K.&lt;/style&gt;&lt;/author&gt;&lt;/authors&gt;&lt;/contributors&gt;&lt;titles&gt;&lt;title&gt;&lt;style face="normal" font="default" size="100%"&gt;Sensitive Detection of SARS-CoV-2-Specific Antibodies in Dried Blood Spot Samples&lt;/style</w:instrText>
      </w:r>
      <w:r>
        <w:instrText>&gt;&lt;/title&gt;&lt;secondary-title&gt;&lt;style face="normal" font="default" size="100%"&gt;Emerg Infect Dis&lt;/style&gt;&lt;/secondary-title&gt;&lt;/titles&gt;&lt;periodical&gt;&lt;full-title&gt;&lt;style face="normal" font="default" size="100%"&gt;Emerg Infect Dis&lt;/style&gt;&lt;/full-title&gt;&lt;/periodical&gt;&lt;pages&gt;&lt;s</w:instrText>
      </w:r>
      <w:r>
        <w:instrText>tyle face="normal" font="default" size="100%"&gt;2970-2973&lt;/style&gt;&lt;/pages&gt;&lt;volume&gt;&lt;style face="normal" font="default" size="100%"&gt;26&lt;/style&gt;&lt;/volume&gt;&lt;number&gt;&lt;style face="normal" font="default" size="100%"&gt;12&lt;/style&gt;&lt;/number&gt;&lt;edition&gt;&lt;style face="normal" font=</w:instrText>
      </w:r>
      <w:r>
        <w:instrText>"default" size="100%"&gt;2020/09/25&lt;/style&gt;&lt;/edition&gt;&lt;keywords&gt;&lt;keyword&gt;&lt;style face="normal" font="default" size="100%"&gt;Antibodies, Viral/immunology&lt;/style&gt;&lt;/keyword&gt;&lt;keyword&gt;&lt;style face="normal" font="default" size="100%"&gt;COVID-19/*diagnosis&lt;/style&gt;&lt;/keyword</w:instrText>
      </w:r>
      <w:r>
        <w:instrText>&gt;&lt;keyword&gt;&lt;style face="normal" font="default" size="100%"&gt;COVID-19 Serological Testing/methods&lt;/style&gt;&lt;/keyword&gt;&lt;keyword&gt;&lt;style face="normal" font="default" size="100%"&gt;Case-Control Studies&lt;/style&gt;&lt;/keyword&gt;&lt;keyword&gt;&lt;style face="normal" font="default" size</w:instrText>
      </w:r>
      <w:r>
        <w:instrText>="100%"&gt;Dried Blood Spot Testing/economics/*methods&lt;/style&gt;&lt;/keyword&gt;&lt;keyword&gt;&lt;style face="normal" font="default" size="100%"&gt;Humans&lt;/style&gt;&lt;/keyword&gt;&lt;keyword&gt;&lt;style face="normal" font="default" size="100%"&gt;Predictive Value of Tests&lt;/style&gt;&lt;/keyword&gt;&lt;keywo</w:instrText>
      </w:r>
      <w:r>
        <w:instrText>rd&gt;&lt;style face="normal" font="default" size="100%"&gt;SARS-CoV-2/immunology&lt;/style&gt;&lt;/keyword&gt;&lt;keyword&gt;&lt;style face="normal" font="default" size="100%"&gt;Spike Glycoprotein, Coronavirus/immunology/isolation &amp;amp; purification&lt;/style&gt;&lt;/keyword&gt;&lt;keyword&gt;&lt;style face</w:instrText>
      </w:r>
      <w:r>
        <w:instrText>="normal" font="default" size="100%"&gt;*covid-19&lt;/style&gt;&lt;/keyword&gt;&lt;keyword&gt;&lt;style face="normal" font="default" size="100%"&gt;*dbs&lt;/style&gt;&lt;/keyword&gt;&lt;keyword&gt;&lt;style face="normal" font="default" size="100%"&gt;*SARS-CoV-2&lt;/style&gt;&lt;/keyword&gt;&lt;keyword&gt;&lt;style face="norma</w:instrText>
      </w:r>
      <w:r>
        <w:instrText>l" font="default" size="100%"&gt;*antibody&lt;/style&gt;&lt;/keyword&gt;&lt;keyword&gt;&lt;style face="normal" font="default" size="100%"&gt;*coronavirus disease&lt;/style&gt;&lt;/keyword&gt;&lt;keyword&gt;&lt;style face="normal" font="default" size="100%"&gt;*dried blood spot&lt;/style&gt;&lt;/keyword&gt;&lt;keyword&gt;&lt;st</w:instrText>
      </w:r>
      <w:r>
        <w:instrText>yle face="normal" font="default" size="100%"&gt;*respiratory infections&lt;/style&gt;&lt;/keyword&gt;&lt;keyword&gt;&lt;style face="normal" font="default" size="100%"&gt;*severe acute respiratory syndrome coronavirus 2&lt;/style&gt;&lt;/keyword&gt;&lt;keyword&gt;&lt;style face="normal" font="default" si</w:instrText>
      </w:r>
      <w:r>
        <w:instrText>ze="100%"&gt;*viruses&lt;/style&gt;&lt;/keyword&gt;&lt;keyword&gt;&lt;style face="normal" font="default" size="100%"&gt;*zoonoses&lt;/style&gt;&lt;/keyword&gt;&lt;/keywords&gt;&lt;dates&gt;&lt;year&gt;&lt;style face="normal" font="default" size="100%"&gt;2020&lt;/style&gt;&lt;/year&gt;&lt;pub-dates&gt;&lt;date&gt;&lt;style face="normal" font="d</w:instrText>
      </w:r>
      <w:r>
        <w:instrText>efault" size="100%"&gt;Dec&lt;/style&gt;&lt;/date&gt;&lt;/pub-dates&gt;&lt;/dates&gt;&lt;isbn&gt;&lt;style face="normal" font="default" size="100%"&gt;1080-6040 (Print) 1080-6040&lt;/style&gt;&lt;/isbn&gt;&lt;accession-num&gt;&lt;style face="normal" font="default" size="100%"&gt;32969788&lt;/style&gt;&lt;/accession-num&gt;&lt;abstra</w:instrText>
      </w:r>
      <w:r>
        <w:instrText>ct&gt;&lt;style face="normal" font="default" size="100%"&gt;Dried blood spot (DBS) samples can be used for the detection of severe acute respiratory syndrome coronavirus 2 spike antibodies. DBS sampling is comparable to matched serum samples with a relative 98.1% s</w:instrText>
      </w:r>
      <w:r>
        <w:instrText>ensitivity and 100% specificity. Thus, DBS sampling offers an alternative for population-wide serologic testing in the coronavirus pandemic.&lt;/style&gt;&lt;/abstract&gt;&lt;notes&gt;&lt;style face="normal" font="default" size="100%"&gt;1080-6059 Morley, Gabriella L Taylor, Step</w:instrText>
      </w:r>
      <w:r>
        <w:instrText xml:space="preserve">hen Jossi, Sian Perez-Toledo, Marisol Faustini, Sian E Marcial-Juarez, Edith Shields, Adrian M Goodall, Margaret Allen, Joel D Watanabe, Yasunori Newby, Maddy L Crispin, Max Drayson, Mark T Cunningham, Adam F Richter, Alex G O'Shea, Matthew K WT_/Wellcome </w:instrText>
      </w:r>
      <w:r>
        <w:instrText>Trust/United Kingdom MC_PC_17183/MRC_/Medical Research Council/United Kingdom UM1 AI144462/AI/NIAID NIH HHS/United States Journal Article Research Support, N.I.H., Extramural Research Support, Non-U.S. Gov't Emerg Infect Dis. 2020 Dec;26(12):2970-2973. doi</w:instrText>
      </w:r>
      <w:r>
        <w:instrText>: 10.3201/eid2612.203309. Epub 2020 Sep 24.&lt;/style&gt;&lt;/notes&gt;&lt;urls&gt;&lt;/urls&gt;&lt;custom2&gt;&lt;style face="normal" font="default" size="100%"&gt;PMC7706975&lt;/style&gt;&lt;/custom2&gt;&lt;electronic-resource-num&gt;&lt;style face="normal" font="default" size="100%"&gt;10.3201/eid2612.203309&lt;/st</w:instrText>
      </w:r>
      <w:r>
        <w:instrText>yle&gt;&lt;/electronic-resource-num&gt;&lt;remote-database-provider&gt;&lt;style face="normal" font="default" size="100%"&gt;NLM&lt;/style&gt;&lt;/remote-database-provider&gt;&lt;language&gt;&lt;style face="normal" font="default" size="100%"&gt;eng&lt;/style&gt;&lt;/language&gt;&lt;/record&gt;&lt;/Cite&gt;&lt;/EndNote&gt;</w:instrText>
      </w:r>
      <w:r>
        <w:fldChar w:fldCharType="separate"/>
      </w:r>
      <w:r>
        <w:rPr>
          <w:lang w:val="pt-PT"/>
        </w:rPr>
        <w:t>[2]</w:t>
      </w:r>
      <w:r>
        <w:fldChar w:fldCharType="end"/>
      </w:r>
      <w:r>
        <w:rPr>
          <w:lang w:val="en-US"/>
        </w:rPr>
        <w:t xml:space="preserve">. </w:t>
      </w:r>
      <w:r>
        <w:rPr>
          <w:lang w:val="en-US"/>
        </w:rPr>
        <w:t xml:space="preserve">Any result greater than 1.0 is considered seropositive; results are reported as the percentage of participants who are seropositive and the median of the </w:t>
      </w:r>
      <w:proofErr w:type="spellStart"/>
      <w:r>
        <w:rPr>
          <w:lang w:val="en-US"/>
        </w:rPr>
        <w:t>IgGAM</w:t>
      </w:r>
      <w:proofErr w:type="spellEnd"/>
      <w:r>
        <w:rPr>
          <w:lang w:val="en-US"/>
        </w:rPr>
        <w:t xml:space="preserve"> ratio in seropositive participants.</w:t>
      </w:r>
    </w:p>
    <w:p w14:paraId="7CD8F21C" w14:textId="77777777" w:rsidR="00DB7E9C" w:rsidRDefault="00DB7E9C">
      <w:pPr>
        <w:pStyle w:val="Body"/>
        <w:spacing w:line="288" w:lineRule="auto"/>
        <w:jc w:val="both"/>
      </w:pPr>
    </w:p>
    <w:p w14:paraId="29CD28D0" w14:textId="77777777" w:rsidR="00DB7E9C" w:rsidRDefault="003E50C0">
      <w:pPr>
        <w:pStyle w:val="Body"/>
        <w:spacing w:line="288" w:lineRule="auto"/>
        <w:jc w:val="both"/>
        <w:rPr>
          <w:i/>
          <w:iCs/>
        </w:rPr>
      </w:pPr>
      <w:proofErr w:type="spellStart"/>
      <w:r>
        <w:rPr>
          <w:i/>
          <w:iCs/>
          <w:lang w:val="en-US"/>
        </w:rPr>
        <w:t>Neutralisation</w:t>
      </w:r>
      <w:proofErr w:type="spellEnd"/>
      <w:r>
        <w:rPr>
          <w:i/>
          <w:iCs/>
          <w:lang w:val="en-US"/>
        </w:rPr>
        <w:t xml:space="preserve"> studies</w:t>
      </w:r>
    </w:p>
    <w:p w14:paraId="3EA38B27" w14:textId="4812097B" w:rsidR="00DB7E9C" w:rsidRPr="00FA0D77" w:rsidRDefault="003E50C0">
      <w:pPr>
        <w:pStyle w:val="Body"/>
        <w:spacing w:line="288" w:lineRule="auto"/>
        <w:jc w:val="both"/>
        <w:rPr>
          <w:lang w:val="en-US"/>
        </w:rPr>
      </w:pPr>
      <w:r>
        <w:rPr>
          <w:lang w:val="en-US"/>
        </w:rPr>
        <w:t>Vero cells were seeded in 96-well pl</w:t>
      </w:r>
      <w:r>
        <w:rPr>
          <w:lang w:val="en-US"/>
        </w:rPr>
        <w:t>ates in Dulbecco’s Modified Eagles Medium with 10% FBS, 1% penicillin-streptomycin, 1% L-Glutamine. SARS-CoV-2 virus</w:t>
      </w:r>
      <w:r>
        <w:t xml:space="preserve"> (10</w:t>
      </w:r>
      <w:r>
        <w:rPr>
          <w:vertAlign w:val="superscript"/>
        </w:rPr>
        <w:t>6</w:t>
      </w:r>
      <w:r>
        <w:rPr>
          <w:lang w:val="en-US"/>
        </w:rPr>
        <w:t xml:space="preserve"> IU/ml stock, PHE SARS-CoV-2 England 2) at final dilution 1/300 was incubated with the patient sample sera for 1 hour at 37</w:t>
      </w:r>
      <w:r>
        <w:rPr>
          <w:vertAlign w:val="superscript"/>
        </w:rPr>
        <w:t>o</w:t>
      </w:r>
      <w:r>
        <w:rPr>
          <w:lang w:val="en-US"/>
        </w:rPr>
        <w:t>C and added</w:t>
      </w:r>
      <w:r>
        <w:rPr>
          <w:lang w:val="en-US"/>
        </w:rPr>
        <w:t xml:space="preserve"> to Vero cells for 48 hours. Serum dilutions of both 1/50 and 1/200 were tested</w:t>
      </w:r>
      <w:r>
        <w:rPr>
          <w:lang w:val="en-US"/>
        </w:rPr>
        <w:t xml:space="preserve"> for </w:t>
      </w:r>
      <w:proofErr w:type="spellStart"/>
      <w:r>
        <w:rPr>
          <w:lang w:val="en-US"/>
        </w:rPr>
        <w:t>neutralising</w:t>
      </w:r>
      <w:proofErr w:type="spellEnd"/>
      <w:r>
        <w:rPr>
          <w:lang w:val="en-US"/>
        </w:rPr>
        <w:t xml:space="preserve"> ability with a 1/200 dilution showing a stronger relationship </w:t>
      </w:r>
      <w:r>
        <w:t>(r=0.47, p&lt;0.0001)</w:t>
      </w:r>
      <w:r>
        <w:rPr>
          <w:lang w:val="en-US"/>
        </w:rPr>
        <w:t xml:space="preserve"> with serum antibody concentration (</w:t>
      </w:r>
      <w:r>
        <w:rPr>
          <w:b/>
          <w:bCs/>
          <w:lang w:val="en-US"/>
        </w:rPr>
        <w:t>Supplementary Figure 2</w:t>
      </w:r>
      <w:r>
        <w:rPr>
          <w:lang w:val="en-US"/>
        </w:rPr>
        <w:t>). The cells were fi</w:t>
      </w:r>
      <w:r>
        <w:rPr>
          <w:lang w:val="en-US"/>
        </w:rPr>
        <w:t xml:space="preserve">xed with methanol for 5 minutes and stained with rabbit anti-SARS-CoV-2 clone CR3022 (Native Antigen Company, Oxford, UK) and anti-rabbit </w:t>
      </w:r>
      <w:proofErr w:type="spellStart"/>
      <w:r>
        <w:rPr>
          <w:lang w:val="en-US"/>
        </w:rPr>
        <w:t>Alexaflour</w:t>
      </w:r>
      <w:proofErr w:type="spellEnd"/>
      <w:r>
        <w:rPr>
          <w:lang w:val="en-US"/>
        </w:rPr>
        <w:t xml:space="preserve"> 555 (Thermo Fisher Scientific) and Hoechst 33420 nuclear staining. The plates were imaged using a Thermo </w:t>
      </w:r>
      <w:proofErr w:type="spellStart"/>
      <w:r>
        <w:rPr>
          <w:lang w:val="en-US"/>
        </w:rPr>
        <w:t>Ce</w:t>
      </w:r>
      <w:r>
        <w:rPr>
          <w:lang w:val="en-US"/>
        </w:rPr>
        <w:t>llInsight</w:t>
      </w:r>
      <w:proofErr w:type="spellEnd"/>
      <w:r>
        <w:rPr>
          <w:lang w:val="en-US"/>
        </w:rPr>
        <w:t xml:space="preserve"> CX5 high content screening platform and custom algorithms were used to quantify percentage infection and number of viable cells. Results are expressed as percentage </w:t>
      </w:r>
      <w:proofErr w:type="spellStart"/>
      <w:r>
        <w:rPr>
          <w:lang w:val="en-US"/>
        </w:rPr>
        <w:t>neutralisation</w:t>
      </w:r>
      <w:proofErr w:type="spellEnd"/>
      <w:r>
        <w:rPr>
          <w:lang w:val="en-US"/>
        </w:rPr>
        <w:t xml:space="preserve"> with reference to antibody negative control sera</w:t>
      </w:r>
      <w:r>
        <w:t xml:space="preserve">. </w:t>
      </w:r>
      <w:r>
        <w:rPr>
          <w:lang w:val="en-US"/>
        </w:rPr>
        <w:t xml:space="preserve">Only serum that </w:t>
      </w:r>
      <w:r>
        <w:rPr>
          <w:lang w:val="en-US"/>
        </w:rPr>
        <w:t xml:space="preserve">had tested positive for anti-SARS-CoV-2 anti-spike antibodies by ELISA were evaluated using </w:t>
      </w:r>
      <w:proofErr w:type="spellStart"/>
      <w:r>
        <w:rPr>
          <w:lang w:val="en-US"/>
        </w:rPr>
        <w:t>neutralising</w:t>
      </w:r>
      <w:proofErr w:type="spellEnd"/>
      <w:r>
        <w:rPr>
          <w:lang w:val="en-US"/>
        </w:rPr>
        <w:t xml:space="preserve"> assays</w:t>
      </w:r>
    </w:p>
    <w:p w14:paraId="231E3DF9" w14:textId="77777777" w:rsidR="00DB7E9C" w:rsidRDefault="00DB7E9C">
      <w:pPr>
        <w:pStyle w:val="Body"/>
        <w:spacing w:line="288" w:lineRule="auto"/>
        <w:jc w:val="both"/>
        <w:rPr>
          <w:i/>
          <w:iCs/>
        </w:rPr>
      </w:pPr>
    </w:p>
    <w:p w14:paraId="5A3C3506" w14:textId="77777777" w:rsidR="00DB7E9C" w:rsidRDefault="003E50C0">
      <w:pPr>
        <w:pStyle w:val="Body"/>
        <w:spacing w:line="288" w:lineRule="auto"/>
        <w:jc w:val="both"/>
        <w:rPr>
          <w:i/>
          <w:iCs/>
        </w:rPr>
      </w:pPr>
      <w:r>
        <w:rPr>
          <w:i/>
          <w:iCs/>
          <w:lang w:val="en-US"/>
        </w:rPr>
        <w:t>Comparative binding of antibodies to SARS-CoV-2 variant of concern spike proteins</w:t>
      </w:r>
    </w:p>
    <w:p w14:paraId="52CB1087" w14:textId="77777777" w:rsidR="00DB7E9C" w:rsidRDefault="003E50C0">
      <w:pPr>
        <w:pStyle w:val="Body"/>
        <w:spacing w:line="288" w:lineRule="auto"/>
        <w:jc w:val="both"/>
      </w:pPr>
      <w:r>
        <w:rPr>
          <w:lang w:val="en-US"/>
        </w:rPr>
        <w:t>Wuhan and Delta spike variant were kindly obtained from Abing</w:t>
      </w:r>
      <w:r>
        <w:rPr>
          <w:lang w:val="en-US"/>
        </w:rPr>
        <w:t xml:space="preserve">don Health and coated at 1 ug/mL (50 ul) onto high binding ELISA plates overnight at 4 degrees C. Plates were washed with PBS-Tween20 and then blocked with 2% BSA diluted in PBS Tween (0.1% Tween-20) for 1 hour at room temperature (RT). Serum samples were </w:t>
      </w:r>
      <w:r>
        <w:rPr>
          <w:lang w:val="en-US"/>
        </w:rPr>
        <w:t>diluted at 1:40 with 2% BSA + 0.1% PBS-Tween and added to the plate (100 ul) after washing and incubated for 1 hour at RT. HRP-conjugated mouse-anti-human R10-IgG (monoclonal antibody obtained from Dr. Margaret Goodall) (1:8000 dilution, 100 ul) was then a</w:t>
      </w:r>
      <w:r>
        <w:rPr>
          <w:lang w:val="en-US"/>
        </w:rPr>
        <w:t>dded to the plate and incubated for 1 hour at RT. Plates were washed and then TMB substrate was used for development. 0.2M H</w:t>
      </w:r>
      <w:r>
        <w:rPr>
          <w:sz w:val="24"/>
          <w:szCs w:val="24"/>
          <w:vertAlign w:val="subscript"/>
        </w:rPr>
        <w:t>2</w:t>
      </w:r>
      <w:r>
        <w:t>SO</w:t>
      </w:r>
      <w:r>
        <w:rPr>
          <w:sz w:val="24"/>
          <w:szCs w:val="24"/>
          <w:vertAlign w:val="subscript"/>
        </w:rPr>
        <w:t>4</w:t>
      </w:r>
      <w:r>
        <w:rPr>
          <w:lang w:val="en-US"/>
        </w:rPr>
        <w:t xml:space="preserve"> (50 ul) was added to the well after 10 minutes </w:t>
      </w:r>
      <w:proofErr w:type="gramStart"/>
      <w:r>
        <w:rPr>
          <w:lang w:val="en-US"/>
        </w:rPr>
        <w:t>in order to</w:t>
      </w:r>
      <w:proofErr w:type="gramEnd"/>
      <w:r>
        <w:rPr>
          <w:lang w:val="en-US"/>
        </w:rPr>
        <w:t xml:space="preserve"> stop the reaction. Optical densities were measured at 450 nm on the </w:t>
      </w:r>
      <w:proofErr w:type="spellStart"/>
      <w:r>
        <w:rPr>
          <w:lang w:val="en-US"/>
        </w:rPr>
        <w:t>Dynex</w:t>
      </w:r>
      <w:proofErr w:type="spellEnd"/>
      <w:r>
        <w:rPr>
          <w:lang w:val="en-US"/>
        </w:rPr>
        <w:t xml:space="preserve"> </w:t>
      </w:r>
      <w:proofErr w:type="spellStart"/>
      <w:r>
        <w:rPr>
          <w:lang w:val="en-US"/>
        </w:rPr>
        <w:t>Dynaread</w:t>
      </w:r>
      <w:proofErr w:type="spellEnd"/>
      <w:r>
        <w:rPr>
          <w:lang w:val="en-US"/>
        </w:rPr>
        <w:t xml:space="preserve"> (Aspect Scientific).</w:t>
      </w:r>
    </w:p>
    <w:p w14:paraId="5345F3B8" w14:textId="77777777" w:rsidR="00DB7E9C" w:rsidRDefault="00DB7E9C">
      <w:pPr>
        <w:pStyle w:val="Body"/>
        <w:spacing w:line="288" w:lineRule="auto"/>
        <w:jc w:val="both"/>
        <w:rPr>
          <w:i/>
          <w:iCs/>
        </w:rPr>
      </w:pPr>
    </w:p>
    <w:p w14:paraId="3DA3AA2B" w14:textId="77777777" w:rsidR="00DB7E9C" w:rsidRDefault="003E50C0">
      <w:pPr>
        <w:pStyle w:val="Body"/>
        <w:spacing w:line="288" w:lineRule="auto"/>
        <w:jc w:val="both"/>
        <w:rPr>
          <w:i/>
          <w:iCs/>
        </w:rPr>
      </w:pPr>
      <w:r>
        <w:rPr>
          <w:i/>
          <w:iCs/>
          <w:lang w:val="en-US"/>
        </w:rPr>
        <w:t>SARS-CoV-2 interferon gamma release assay</w:t>
      </w:r>
    </w:p>
    <w:p w14:paraId="4AC402AC" w14:textId="77777777" w:rsidR="00DB7E9C" w:rsidRDefault="003E50C0">
      <w:pPr>
        <w:pStyle w:val="Body"/>
        <w:spacing w:line="288" w:lineRule="auto"/>
        <w:jc w:val="both"/>
      </w:pPr>
      <w:r>
        <w:rPr>
          <w:lang w:val="en-US"/>
        </w:rPr>
        <w:t>IFN-gamma release assays were performed using the T-</w:t>
      </w:r>
      <w:proofErr w:type="spellStart"/>
      <w:proofErr w:type="gramStart"/>
      <w:r>
        <w:rPr>
          <w:lang w:val="en-US"/>
        </w:rPr>
        <w:t>spot.COVID</w:t>
      </w:r>
      <w:proofErr w:type="spellEnd"/>
      <w:proofErr w:type="gramEnd"/>
      <w:r>
        <w:rPr>
          <w:lang w:val="en-US"/>
        </w:rPr>
        <w:t xml:space="preserve"> assay as per the </w:t>
      </w:r>
      <w:proofErr w:type="spellStart"/>
      <w:r>
        <w:rPr>
          <w:lang w:val="en-US"/>
        </w:rPr>
        <w:t>manufacturers</w:t>
      </w:r>
      <w:proofErr w:type="spellEnd"/>
      <w:r>
        <w:rPr>
          <w:lang w:val="en-US"/>
        </w:rPr>
        <w:t xml:space="preserve"> instructions (Oxford </w:t>
      </w:r>
      <w:proofErr w:type="spellStart"/>
      <w:r>
        <w:rPr>
          <w:lang w:val="en-US"/>
        </w:rPr>
        <w:t>Immunotec</w:t>
      </w:r>
      <w:proofErr w:type="spellEnd"/>
      <w:r>
        <w:rPr>
          <w:lang w:val="en-US"/>
        </w:rPr>
        <w:t>, Abingdon, UK). Briefly, peripheral blood mononuclea</w:t>
      </w:r>
      <w:r>
        <w:rPr>
          <w:lang w:val="en-US"/>
        </w:rPr>
        <w:t xml:space="preserve">r cells (PBMCs) are stimulated with proprietary peptide pools derived from the spike and nucleocapsid proteins of the SARS-CoV-2 virus for 16-20 hours alongside negative </w:t>
      </w:r>
      <w:proofErr w:type="gramStart"/>
      <w:r>
        <w:rPr>
          <w:lang w:val="en-US"/>
        </w:rPr>
        <w:t>and  positive</w:t>
      </w:r>
      <w:proofErr w:type="gramEnd"/>
      <w:r>
        <w:rPr>
          <w:lang w:val="en-US"/>
        </w:rPr>
        <w:t xml:space="preserve"> controls. IFN-gamma producing colonies are enumerated by ELISPOT: 0-4 sp</w:t>
      </w:r>
      <w:r>
        <w:rPr>
          <w:lang w:val="en-US"/>
        </w:rPr>
        <w:t xml:space="preserve">ots per well </w:t>
      </w:r>
      <w:r>
        <w:rPr>
          <w:lang w:val="en-US"/>
        </w:rPr>
        <w:lastRenderedPageBreak/>
        <w:t>is considered negative, 5-7 spots per cell, borderline and greater than 7 spots per well a positive response.</w:t>
      </w:r>
      <w:r>
        <w:rPr>
          <w:rFonts w:ascii="Arial Unicode MS" w:hAnsi="Arial Unicode MS"/>
        </w:rPr>
        <w:br w:type="page"/>
      </w:r>
    </w:p>
    <w:p w14:paraId="5CA74C29" w14:textId="77777777" w:rsidR="00DB7E9C" w:rsidRDefault="003E50C0">
      <w:pPr>
        <w:pStyle w:val="Heading"/>
        <w:rPr>
          <w:sz w:val="24"/>
          <w:szCs w:val="24"/>
        </w:rPr>
      </w:pPr>
      <w:r>
        <w:rPr>
          <w:sz w:val="24"/>
          <w:szCs w:val="24"/>
        </w:rPr>
        <w:lastRenderedPageBreak/>
        <w:t>References</w:t>
      </w:r>
    </w:p>
    <w:p w14:paraId="1921AC45" w14:textId="77777777" w:rsidR="00DB7E9C" w:rsidRDefault="00DB7E9C">
      <w:pPr>
        <w:pStyle w:val="Body"/>
      </w:pPr>
    </w:p>
    <w:p w14:paraId="3BDA91B5" w14:textId="77777777" w:rsidR="00DB7E9C" w:rsidRDefault="003E50C0">
      <w:pPr>
        <w:pStyle w:val="Body"/>
      </w:pPr>
      <w:r>
        <w:fldChar w:fldCharType="begin"/>
      </w:r>
      <w:r>
        <w:instrText xml:space="preserve"> ADDIN EN.REFLIST </w:instrText>
      </w:r>
      <w:r>
        <w:fldChar w:fldCharType="separate"/>
      </w:r>
    </w:p>
    <w:p w14:paraId="4B14A0E6" w14:textId="77777777" w:rsidR="00DB7E9C" w:rsidRDefault="003E50C0">
      <w:pPr>
        <w:pStyle w:val="Body"/>
      </w:pPr>
      <w:r>
        <w:t>1.</w:t>
      </w:r>
      <w:r>
        <w:tab/>
        <w:t xml:space="preserve">Cook, A.M., et al., </w:t>
      </w:r>
      <w:r>
        <w:rPr>
          <w:lang w:val="en-US"/>
        </w:rPr>
        <w:t>Validation of a combined ELISA to detect IgG, IgA and IgM antibody responses t</w:t>
      </w:r>
      <w:r>
        <w:rPr>
          <w:lang w:val="en-US"/>
        </w:rPr>
        <w:t xml:space="preserve">o SARS-CoV-2 in mild or moderate non-hospitalised patients. J Immunol Methods, 2021. </w:t>
      </w:r>
      <w:r>
        <w:rPr>
          <w:b/>
          <w:bCs/>
        </w:rPr>
        <w:t>494</w:t>
      </w:r>
      <w:r>
        <w:t>: p. 113046.</w:t>
      </w:r>
    </w:p>
    <w:p w14:paraId="716D70B7" w14:textId="77777777" w:rsidR="00DB7E9C" w:rsidRDefault="003E50C0">
      <w:pPr>
        <w:pStyle w:val="Body"/>
      </w:pPr>
      <w:r>
        <w:t>2.</w:t>
      </w:r>
      <w:r>
        <w:tab/>
        <w:t xml:space="preserve">Morley, G.L., et al., </w:t>
      </w:r>
      <w:r>
        <w:rPr>
          <w:lang w:val="en-US"/>
        </w:rPr>
        <w:t xml:space="preserve">Sensitive Detection of SARS-CoV-2-Specific Antibodies in Dried Blood Spot Samples. Emerg Infect Dis, 2020. </w:t>
      </w:r>
      <w:r>
        <w:rPr>
          <w:b/>
          <w:bCs/>
        </w:rPr>
        <w:t>26</w:t>
      </w:r>
      <w:r>
        <w:t>(12): p. 2970-2973.</w:t>
      </w:r>
      <w:r>
        <w:fldChar w:fldCharType="end"/>
      </w:r>
    </w:p>
    <w:sectPr w:rsidR="00DB7E9C">
      <w:headerReference w:type="default" r:id="rId6"/>
      <w:footerReference w:type="default" r:id="rId7"/>
      <w:pgSz w:w="11906" w:h="16838"/>
      <w:pgMar w:top="1134" w:right="1134" w:bottom="1134" w:left="1134" w:header="709" w:footer="85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39D1E2E" w14:textId="77777777" w:rsidR="003E50C0" w:rsidRDefault="003E50C0">
      <w:r>
        <w:separator/>
      </w:r>
    </w:p>
  </w:endnote>
  <w:endnote w:type="continuationSeparator" w:id="0">
    <w:p w14:paraId="326CDBCA" w14:textId="77777777" w:rsidR="003E50C0" w:rsidRDefault="003E50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Neue">
    <w:altName w:val="Times New Roman"/>
    <w:panose1 w:val="02000503000000020004"/>
    <w:charset w:val="00"/>
    <w:family w:val="auto"/>
    <w:pitch w:val="variable"/>
    <w:sig w:usb0="E50002FF" w:usb1="500079DB" w:usb2="0000001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8CEDF0" w14:textId="77777777" w:rsidR="00DB7E9C" w:rsidRDefault="00DB7E9C"/>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3952E06" w14:textId="77777777" w:rsidR="003E50C0" w:rsidRDefault="003E50C0">
      <w:r>
        <w:separator/>
      </w:r>
    </w:p>
  </w:footnote>
  <w:footnote w:type="continuationSeparator" w:id="0">
    <w:p w14:paraId="5AE63A8D" w14:textId="77777777" w:rsidR="003E50C0" w:rsidRDefault="003E50C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959186" w14:textId="77777777" w:rsidR="00DB7E9C" w:rsidRDefault="00DB7E9C"/>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displayBackgroundShape/>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B7E9C"/>
    <w:rsid w:val="003E50C0"/>
    <w:rsid w:val="00DB7E9C"/>
    <w:rsid w:val="00FA0D7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11C11114"/>
  <w15:docId w15:val="{16CA20A7-FB05-1145-8D4E-E421FE2C2D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Body">
    <w:name w:val="Body"/>
    <w:rPr>
      <w:rFonts w:ascii="Helvetica Neue" w:hAnsi="Helvetica Neue" w:cs="Arial Unicode MS"/>
      <w:color w:val="000000"/>
      <w:sz w:val="22"/>
      <w:szCs w:val="22"/>
      <w14:textOutline w14:w="0" w14:cap="flat" w14:cmpd="sng" w14:algn="ctr">
        <w14:noFill/>
        <w14:prstDash w14:val="solid"/>
        <w14:bevel/>
      </w14:textOutline>
    </w:rPr>
  </w:style>
  <w:style w:type="paragraph" w:customStyle="1" w:styleId="Heading">
    <w:name w:val="Heading"/>
    <w:next w:val="Body"/>
    <w:pPr>
      <w:keepNext/>
      <w:outlineLvl w:val="0"/>
    </w:pPr>
    <w:rPr>
      <w:rFonts w:ascii="Helvetica Neue" w:hAnsi="Helvetica Neue" w:cs="Arial Unicode MS"/>
      <w:b/>
      <w:bCs/>
      <w:color w:val="000000"/>
      <w:sz w:val="36"/>
      <w:szCs w:val="36"/>
      <w:lang w:val="en-US"/>
      <w14:textOutline w14:w="0" w14:cap="flat" w14:cmpd="sng" w14:algn="ctr">
        <w14:noFill/>
        <w14:prstDash w14:val="solid"/>
        <w14:bevel/>
      </w14:textOutli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a:spAutoFit/>
      </a:bodyPr>
      <a:lstStyle>
        <a:defPPr marL="0" marR="0" indent="0" algn="ctr" defTabSz="584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2797</Words>
  <Characters>15944</Characters>
  <Application>Microsoft Office Word</Application>
  <DocSecurity>0</DocSecurity>
  <Lines>132</Lines>
  <Paragraphs>37</Paragraphs>
  <ScaleCrop>false</ScaleCrop>
  <Company/>
  <LinksUpToDate>false</LinksUpToDate>
  <CharactersWithSpaces>18704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Adrian Shields (Clinical Immunology Service)</cp:lastModifiedBy>
  <cp:revision>2</cp:revision>
  <dcterms:created xsi:type="dcterms:W3CDTF">2021-11-28T13:27:00Z</dcterms:created>
  <dcterms:modified xsi:type="dcterms:W3CDTF">2021-11-28T13:31:00Z</dcterms:modified>
</cp:coreProperties>
</file>