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C7A89" w14:textId="77777777" w:rsidR="00774EC0" w:rsidRPr="00253C31" w:rsidRDefault="00774EC0" w:rsidP="00774EC0">
      <w:pPr>
        <w:pStyle w:val="Heading2"/>
        <w:rPr>
          <w:rStyle w:val="normaltextrun"/>
          <w:bCs/>
          <w:i w:val="0"/>
          <w:iCs/>
        </w:rPr>
      </w:pPr>
      <w:r w:rsidRPr="00253C31">
        <w:rPr>
          <w:rStyle w:val="normaltextrun"/>
        </w:rPr>
        <w:t>Plant transformation</w:t>
      </w:r>
    </w:p>
    <w:p w14:paraId="3E15BB2D" w14:textId="77777777" w:rsidR="00774EC0" w:rsidRPr="00A10B31" w:rsidRDefault="00774EC0" w:rsidP="004B18ED">
      <w:pPr>
        <w:pStyle w:val="Heading3"/>
        <w:rPr>
          <w:rStyle w:val="eop"/>
          <w:color w:val="000000"/>
          <w:shd w:val="clear" w:color="auto" w:fill="FFFFFF"/>
        </w:rPr>
      </w:pPr>
      <w:r w:rsidRPr="00A10B31">
        <w:rPr>
          <w:rStyle w:val="normaltextrun"/>
          <w:color w:val="000000"/>
          <w:shd w:val="clear" w:color="auto" w:fill="FFFFFF"/>
          <w:lang w:val="en-US"/>
        </w:rPr>
        <w:t>Tissue Preparation</w:t>
      </w:r>
      <w:r w:rsidRPr="00A10B31">
        <w:rPr>
          <w:rStyle w:val="eop"/>
          <w:color w:val="000000"/>
          <w:shd w:val="clear" w:color="auto" w:fill="FFFFFF"/>
        </w:rPr>
        <w:t> </w:t>
      </w:r>
    </w:p>
    <w:p w14:paraId="62BA8C48" w14:textId="4022EEE3" w:rsidR="00774EC0" w:rsidRPr="00A10B31" w:rsidRDefault="00774EC0" w:rsidP="00774EC0">
      <w:pPr>
        <w:rPr>
          <w:color w:val="000000"/>
          <w:shd w:val="clear" w:color="auto" w:fill="FFFFFF"/>
        </w:rPr>
      </w:pPr>
      <w:r w:rsidRPr="3EE5E449">
        <w:rPr>
          <w:rStyle w:val="normaltextrun"/>
          <w:i/>
          <w:iCs/>
          <w:color w:val="000000" w:themeColor="text1"/>
          <w:lang w:val="en-US"/>
        </w:rPr>
        <w:t>P. radiata </w:t>
      </w:r>
      <w:r w:rsidRPr="3EE5E449">
        <w:rPr>
          <w:rStyle w:val="normaltextrun"/>
          <w:color w:val="000000" w:themeColor="text1"/>
          <w:lang w:val="en-US"/>
        </w:rPr>
        <w:t>somatic embryogenic cell line</w:t>
      </w:r>
      <w:r>
        <w:rPr>
          <w:rStyle w:val="normaltextrun"/>
          <w:color w:val="000000" w:themeColor="text1"/>
          <w:lang w:val="en-US"/>
        </w:rPr>
        <w:t>s, recovered from cryopreservation</w:t>
      </w:r>
      <w:r w:rsidRPr="3EE5E449">
        <w:rPr>
          <w:rStyle w:val="normaltextrun"/>
          <w:color w:val="000000" w:themeColor="text1"/>
          <w:lang w:val="en-US"/>
        </w:rPr>
        <w:t xml:space="preserve"> </w:t>
      </w:r>
      <w:r>
        <w:rPr>
          <w:rStyle w:val="normaltextrun"/>
          <w:color w:val="000000" w:themeColor="text1"/>
          <w:lang w:val="en-US"/>
        </w:rPr>
        <w:t>were</w:t>
      </w:r>
      <w:r w:rsidRPr="3EE5E449">
        <w:rPr>
          <w:rStyle w:val="normaltextrun"/>
          <w:color w:val="000000" w:themeColor="text1"/>
          <w:lang w:val="en-US"/>
        </w:rPr>
        <w:t xml:space="preserve"> proliferated by fortnightly lump transfers on </w:t>
      </w:r>
      <w:r>
        <w:rPr>
          <w:rStyle w:val="normaltextrun"/>
          <w:color w:val="000000" w:themeColor="text1"/>
          <w:lang w:val="en-US"/>
        </w:rPr>
        <w:t xml:space="preserve">a Litvay-based media </w:t>
      </w:r>
      <w:r>
        <w:rPr>
          <w:rStyle w:val="normaltextrun"/>
          <w:color w:val="000000" w:themeColor="text1"/>
          <w:lang w:val="en-US"/>
        </w:rPr>
        <w:fldChar w:fldCharType="begin"/>
      </w:r>
      <w:r w:rsidR="00B1353D">
        <w:rPr>
          <w:rStyle w:val="normaltextrun"/>
          <w:color w:val="000000" w:themeColor="text1"/>
          <w:lang w:val="en-US"/>
        </w:rPr>
        <w:instrText xml:space="preserve"> ADDIN EN.CITE &lt;EndNote&gt;&lt;Cite&gt;&lt;Author&gt;Litvay&lt;/Author&gt;&lt;Year&gt;1985&lt;/Year&gt;&lt;RecNum&gt;2001&lt;/RecNum&gt;&lt;DisplayText&gt;[1]&lt;/DisplayText&gt;&lt;record&gt;&lt;rec-number&gt;2001&lt;/rec-number&gt;&lt;foreign-keys&gt;&lt;key app="EN" db-id="tt29xadvldvst1evzfhxt2905zrzvfzdrtf0" timestamp="1538965607" guid="ea0a9986-764c-46ec-b6bf-6b63c9dce277"&gt;2001&lt;/key&gt;&lt;/foreign-keys&gt;&lt;ref-type name="Journal Article"&gt;17&lt;/ref-type&gt;&lt;contributors&gt;&lt;authors&gt;&lt;author&gt;Litvay, J. D.&lt;/author&gt;&lt;author&gt;Verma, D. C.&lt;/author&gt;&lt;author&gt;Johnson, M. A.&lt;/author&gt;&lt;/authors&gt;&lt;/contributors&gt;&lt;auth-address&gt;Forest Biology Section, The Institute of Paper Chemistry, P.O. Box 1039, 54912, Appleton, WI, USA.&lt;/auth-address&gt;&lt;titles&gt;&lt;title&gt;&lt;style face="normal" font="default" size="100%"&gt;Influence of a loblolly pine (&lt;/style&gt;&lt;style face="italic" font="default" size="100%"&gt;Pinus taeda&lt;/style&gt;&lt;style face="normal" font="default" size="100%"&gt; L.). Culture medium and its components on growth and somatic embryogenesis of the wild carrot (&lt;/style&gt;&lt;style face="italic" font="default" size="100%"&gt;Daucus carota&lt;/style&gt;&lt;style face="normal" font="default" size="100%"&gt; L.)&lt;/style&gt;&lt;/title&gt;&lt;secondary-title&gt;Plant Cell Rep&lt;/secondary-title&gt;&lt;/titles&gt;&lt;periodical&gt;&lt;full-title&gt;Plant Cell Rep&lt;/full-title&gt;&lt;/periodical&gt;&lt;pages&gt;325-8&lt;/pages&gt;&lt;volume&gt;4&lt;/volume&gt;&lt;number&gt;6&lt;/number&gt;&lt;edition&gt;1985/12/01&lt;/edition&gt;&lt;dates&gt;&lt;year&gt;1985&lt;/year&gt;&lt;pub-dates&gt;&lt;date&gt;Dec&lt;/date&gt;&lt;/pub-dates&gt;&lt;/dates&gt;&lt;isbn&gt;0721-7714 (Print)&amp;#xD;0721-7714 (Linking)&lt;/isbn&gt;&lt;accession-num&gt;24254074&lt;/accession-num&gt;&lt;urls&gt;&lt;related-urls&gt;&lt;url&gt;https://www.ncbi.nlm.nih.gov/pubmed/24254074&lt;/url&gt;&lt;/related-urls&gt;&lt;/urls&gt;&lt;electronic-resource-num&gt;10.1007/BF00269890&lt;/electronic-resource-num&gt;&lt;/record&gt;&lt;/Cite&gt;&lt;/EndNote&gt;</w:instrText>
      </w:r>
      <w:r>
        <w:rPr>
          <w:rStyle w:val="normaltextrun"/>
          <w:color w:val="000000" w:themeColor="text1"/>
          <w:lang w:val="en-US"/>
        </w:rPr>
        <w:fldChar w:fldCharType="separate"/>
      </w:r>
      <w:r w:rsidR="004B18ED">
        <w:rPr>
          <w:rStyle w:val="normaltextrun"/>
          <w:noProof/>
          <w:color w:val="000000" w:themeColor="text1"/>
          <w:lang w:val="en-US"/>
        </w:rPr>
        <w:t>[1]</w:t>
      </w:r>
      <w:r>
        <w:rPr>
          <w:rStyle w:val="normaltextrun"/>
          <w:color w:val="000000" w:themeColor="text1"/>
          <w:lang w:val="en-US"/>
        </w:rPr>
        <w:fldChar w:fldCharType="end"/>
      </w:r>
      <w:r>
        <w:rPr>
          <w:rStyle w:val="normaltextrun"/>
          <w:color w:val="000000" w:themeColor="text1"/>
          <w:lang w:val="en-US"/>
        </w:rPr>
        <w:t xml:space="preserve"> as modified by Hargreaves et al. (</w:t>
      </w:r>
      <w:r w:rsidRPr="3EE5E449">
        <w:rPr>
          <w:rStyle w:val="normaltextrun"/>
          <w:color w:val="000000" w:themeColor="text1"/>
          <w:lang w:val="en-US"/>
        </w:rPr>
        <w:t>Glitz2</w:t>
      </w:r>
      <w:r>
        <w:rPr>
          <w:rStyle w:val="normaltextrun"/>
          <w:color w:val="000000" w:themeColor="text1"/>
          <w:lang w:val="en-US"/>
        </w:rPr>
        <w:t>)</w:t>
      </w:r>
      <w:r w:rsidRPr="3EE5E449">
        <w:rPr>
          <w:rStyle w:val="normaltextrun"/>
          <w:color w:val="000000" w:themeColor="text1"/>
          <w:lang w:val="en-US"/>
        </w:rPr>
        <w:t xml:space="preserve"> </w:t>
      </w:r>
      <w:r w:rsidRPr="3EE5E449">
        <w:rPr>
          <w:rStyle w:val="normaltextrun"/>
          <w:color w:val="000000" w:themeColor="text1"/>
          <w:sz w:val="22"/>
          <w:szCs w:val="22"/>
          <w:lang w:val="en-US"/>
        </w:rPr>
        <w:fldChar w:fldCharType="begin"/>
      </w:r>
      <w:r w:rsidR="00B1353D">
        <w:rPr>
          <w:rStyle w:val="normaltextrun"/>
          <w:color w:val="000000" w:themeColor="text1"/>
          <w:sz w:val="22"/>
          <w:szCs w:val="22"/>
          <w:lang w:val="en-US"/>
        </w:rPr>
        <w:instrText xml:space="preserve"> ADDIN EN.CITE &lt;EndNote&gt;&lt;Cite&gt;&lt;Author&gt;Hargreaves&lt;/Author&gt;&lt;Year&gt;2016&lt;/Year&gt;&lt;RecNum&gt;4063&lt;/RecNum&gt;&lt;DisplayText&gt;[2]&lt;/DisplayText&gt;&lt;record&gt;&lt;rec-number&gt;4063&lt;/rec-number&gt;&lt;foreign-keys&gt;&lt;key app="EN" db-id="tt29xadvldvst1evzfhxt2905zrzvfzdrtf0" timestamp="1601431795" guid="35ad89ee-ba31-490a-b382-9b36e7e2e13b"&gt;4063&lt;/key&gt;&lt;/foreign-keys&gt;&lt;ref-type name="Journal Article"&gt;17&lt;/ref-type&gt;&lt;contributors&gt;&lt;authors&gt;&lt;author&gt;Hargreaves, Cathy&lt;/author&gt;&lt;author&gt;Reeves, Cathie&lt;/author&gt;&lt;author&gt;Gough, Keiko&lt;/author&gt;&lt;author&gt;Montalbán, Itziar Aurora&lt;/author&gt;&lt;author&gt;Low, Charlie&lt;/author&gt;&lt;author&gt;Van Ballekom, Shaf&lt;/author&gt;&lt;author&gt;Dungey, Heidi S.&lt;/author&gt;&lt;author&gt;Moncaleán, Paloma&lt;/author&gt;&lt;/authors&gt;&lt;/contributors&gt;&lt;titles&gt;&lt;title&gt;Nurse tissue for embryo rescue: testing new conifer somatic embryogenesis methods in a F1 hybrid pine&lt;/title&gt;&lt;secondary-title&gt;Trees&lt;/secondary-title&gt;&lt;/titles&gt;&lt;periodical&gt;&lt;full-title&gt;Trees&lt;/full-title&gt;&lt;/periodical&gt;&lt;pages&gt;273-283&lt;/pages&gt;&lt;volume&gt;31&lt;/volume&gt;&lt;number&gt;1&lt;/number&gt;&lt;section&gt;273&lt;/section&gt;&lt;dates&gt;&lt;year&gt;2016&lt;/year&gt;&lt;/dates&gt;&lt;isbn&gt;0931-1890&amp;#xD;1432-2285&lt;/isbn&gt;&lt;urls&gt;&lt;/urls&gt;&lt;electronic-resource-num&gt;10.1007/s00468-016-1482-6&lt;/electronic-resource-num&gt;&lt;/record&gt;&lt;/Cite&gt;&lt;/EndNote&gt;</w:instrText>
      </w:r>
      <w:r w:rsidRPr="3EE5E449">
        <w:rPr>
          <w:rStyle w:val="normaltextrun"/>
          <w:color w:val="000000" w:themeColor="text1"/>
          <w:sz w:val="22"/>
          <w:szCs w:val="22"/>
          <w:lang w:val="en-US"/>
        </w:rPr>
        <w:fldChar w:fldCharType="separate"/>
      </w:r>
      <w:r w:rsidR="004B18ED">
        <w:rPr>
          <w:rStyle w:val="normaltextrun"/>
          <w:noProof/>
          <w:color w:val="000000" w:themeColor="text1"/>
          <w:sz w:val="22"/>
          <w:szCs w:val="22"/>
          <w:lang w:val="en-US"/>
        </w:rPr>
        <w:t>[2]</w:t>
      </w:r>
      <w:r w:rsidRPr="3EE5E449">
        <w:rPr>
          <w:rStyle w:val="normaltextrun"/>
          <w:color w:val="000000" w:themeColor="text1"/>
          <w:sz w:val="22"/>
          <w:szCs w:val="22"/>
          <w:lang w:val="en-US"/>
        </w:rPr>
        <w:fldChar w:fldCharType="end"/>
      </w:r>
      <w:r w:rsidRPr="3EE5E449">
        <w:rPr>
          <w:rStyle w:val="normaltextrun"/>
          <w:color w:val="000000" w:themeColor="text1"/>
          <w:lang w:val="en-US"/>
        </w:rPr>
        <w:t xml:space="preserve"> </w:t>
      </w:r>
      <w:r w:rsidRPr="3EE5E449">
        <w:rPr>
          <w:color w:val="000000" w:themeColor="text1"/>
          <w:lang w:val="en-US"/>
        </w:rPr>
        <w:t>with an additional 2</w:t>
      </w:r>
      <w:r>
        <w:rPr>
          <w:color w:val="000000" w:themeColor="text1"/>
          <w:lang w:val="en-US"/>
        </w:rPr>
        <w:t xml:space="preserve"> </w:t>
      </w:r>
      <w:r w:rsidRPr="3EE5E449">
        <w:rPr>
          <w:color w:val="000000" w:themeColor="text1"/>
          <w:lang w:val="en-US"/>
        </w:rPr>
        <w:t>mg/L glycine</w:t>
      </w:r>
      <w:r w:rsidRPr="3EE5E449">
        <w:rPr>
          <w:i/>
          <w:iCs/>
          <w:color w:val="000000" w:themeColor="text1"/>
          <w:lang w:val="en-US"/>
        </w:rPr>
        <w:t>. </w:t>
      </w:r>
      <w:r w:rsidRPr="3EE5E449">
        <w:rPr>
          <w:color w:val="000000" w:themeColor="text1"/>
          <w:lang w:val="en-US"/>
        </w:rPr>
        <w:t xml:space="preserve">Three weeks prior to bombardment, tissue was suspended in GLITZ0 </w:t>
      </w:r>
      <w:r>
        <w:rPr>
          <w:color w:val="000000" w:themeColor="text1"/>
          <w:lang w:val="en-US"/>
        </w:rPr>
        <w:t xml:space="preserve">(Glitz2 </w:t>
      </w:r>
      <w:r w:rsidRPr="3EE5E449">
        <w:rPr>
          <w:color w:val="000000" w:themeColor="text1"/>
          <w:lang w:val="en-US"/>
        </w:rPr>
        <w:t>liquid media with no plant growth regulators</w:t>
      </w:r>
      <w:r>
        <w:rPr>
          <w:color w:val="000000" w:themeColor="text1"/>
          <w:lang w:val="en-US"/>
        </w:rPr>
        <w:t>)</w:t>
      </w:r>
      <w:r w:rsidRPr="3EE5E449">
        <w:rPr>
          <w:color w:val="000000" w:themeColor="text1"/>
          <w:lang w:val="en-US"/>
        </w:rPr>
        <w:t xml:space="preserve"> (1</w:t>
      </w:r>
      <w:r>
        <w:rPr>
          <w:color w:val="000000" w:themeColor="text1"/>
          <w:lang w:val="en-US"/>
        </w:rPr>
        <w:t xml:space="preserve"> </w:t>
      </w:r>
      <w:r w:rsidRPr="3EE5E449">
        <w:rPr>
          <w:color w:val="000000" w:themeColor="text1"/>
          <w:lang w:val="en-US"/>
        </w:rPr>
        <w:t>g fresh weight: 5</w:t>
      </w:r>
      <w:r>
        <w:rPr>
          <w:color w:val="000000" w:themeColor="text1"/>
          <w:lang w:val="en-US"/>
        </w:rPr>
        <w:t xml:space="preserve"> </w:t>
      </w:r>
      <w:r w:rsidRPr="3EE5E449">
        <w:rPr>
          <w:color w:val="000000" w:themeColor="text1"/>
          <w:lang w:val="en-US"/>
        </w:rPr>
        <w:t xml:space="preserve">ml liquid media). One ml aliquots of the suspension were pipetted onto sterile Whatman #1 filter paper disks and placed onto fresh media. One week prior to bombardment, filter papers </w:t>
      </w:r>
      <w:r w:rsidRPr="146097CB">
        <w:rPr>
          <w:color w:val="000000" w:themeColor="text1"/>
          <w:lang w:val="en-US"/>
        </w:rPr>
        <w:t xml:space="preserve">containing tissue </w:t>
      </w:r>
      <w:r w:rsidRPr="3EE5E449">
        <w:rPr>
          <w:color w:val="000000" w:themeColor="text1"/>
          <w:lang w:val="en-US"/>
        </w:rPr>
        <w:t>were transferred to fresh media.</w:t>
      </w:r>
      <w:r w:rsidRPr="3EE5E449">
        <w:rPr>
          <w:color w:val="000000" w:themeColor="text1"/>
        </w:rPr>
        <w:t> </w:t>
      </w:r>
      <w:r w:rsidRPr="00A10B31">
        <w:rPr>
          <w:color w:val="000000"/>
          <w:shd w:val="clear" w:color="auto" w:fill="FFFFFF"/>
          <w:lang w:val="en-US"/>
        </w:rPr>
        <w:t>Approximately 20 hours prior to bombardment, tissue on the filter paper was re-suspended following the protocol described for the fir</w:t>
      </w:r>
      <w:r>
        <w:rPr>
          <w:color w:val="000000"/>
          <w:shd w:val="clear" w:color="auto" w:fill="FFFFFF"/>
          <w:lang w:val="en-US"/>
        </w:rPr>
        <w:t>st suspension. The tissue in closed petri</w:t>
      </w:r>
      <w:r w:rsidRPr="00A10B31">
        <w:rPr>
          <w:color w:val="000000"/>
          <w:shd w:val="clear" w:color="auto" w:fill="FFFFFF"/>
          <w:lang w:val="en-US"/>
        </w:rPr>
        <w:t xml:space="preserve"> dishes was left in the laminar flow overnight to </w:t>
      </w:r>
      <w:r>
        <w:rPr>
          <w:color w:val="000000"/>
          <w:shd w:val="clear" w:color="auto" w:fill="FFFFFF"/>
          <w:lang w:val="en-US"/>
        </w:rPr>
        <w:t xml:space="preserve">allow </w:t>
      </w:r>
      <w:r w:rsidRPr="00A10B31">
        <w:rPr>
          <w:color w:val="000000"/>
          <w:shd w:val="clear" w:color="auto" w:fill="FFFFFF"/>
          <w:lang w:val="en-US"/>
        </w:rPr>
        <w:t>excess water</w:t>
      </w:r>
      <w:r>
        <w:rPr>
          <w:color w:val="000000"/>
          <w:shd w:val="clear" w:color="auto" w:fill="FFFFFF"/>
          <w:lang w:val="en-US"/>
        </w:rPr>
        <w:t xml:space="preserve"> to </w:t>
      </w:r>
      <w:r w:rsidRPr="00A10B31">
        <w:rPr>
          <w:color w:val="000000"/>
          <w:shd w:val="clear" w:color="auto" w:fill="FFFFFF"/>
          <w:lang w:val="en-US"/>
        </w:rPr>
        <w:t>evaporate</w:t>
      </w:r>
      <w:r>
        <w:rPr>
          <w:color w:val="000000"/>
          <w:shd w:val="clear" w:color="auto" w:fill="FFFFFF"/>
          <w:lang w:val="en-US"/>
        </w:rPr>
        <w:t xml:space="preserve"> and</w:t>
      </w:r>
      <w:r w:rsidRPr="00A10B31">
        <w:rPr>
          <w:color w:val="000000"/>
          <w:shd w:val="clear" w:color="auto" w:fill="FFFFFF"/>
          <w:lang w:val="en-US"/>
        </w:rPr>
        <w:t xml:space="preserve"> bombarded the following day.</w:t>
      </w:r>
    </w:p>
    <w:p w14:paraId="279B4221" w14:textId="77777777" w:rsidR="00774EC0" w:rsidRPr="00967108" w:rsidRDefault="00774EC0" w:rsidP="00774EC0">
      <w:pPr>
        <w:pStyle w:val="Heading3"/>
      </w:pPr>
      <w:r>
        <w:t xml:space="preserve">Particle Bombardment using plasmid DNA </w:t>
      </w:r>
    </w:p>
    <w:p w14:paraId="0A44AD54" w14:textId="0E449254" w:rsidR="00774EC0" w:rsidRPr="00741C10" w:rsidRDefault="00774EC0" w:rsidP="00774EC0">
      <w:r w:rsidRPr="00741C10">
        <w:t xml:space="preserve">Plasmid DNA (2-5 </w:t>
      </w:r>
      <w:r w:rsidRPr="00741C10">
        <w:rPr>
          <w:rFonts w:cs="Arial"/>
        </w:rPr>
        <w:t>µ</w:t>
      </w:r>
      <w:r w:rsidRPr="00741C10">
        <w:t>g) was precipitated ont</w:t>
      </w:r>
      <w:r>
        <w:t>o gold particles (</w:t>
      </w:r>
      <w:r w:rsidRPr="00741C10">
        <w:t>&lt;10</w:t>
      </w:r>
      <w:r>
        <w:t xml:space="preserve"> </w:t>
      </w:r>
      <w:r w:rsidRPr="00741C10">
        <w:rPr>
          <w:rFonts w:cs="Arial"/>
        </w:rPr>
        <w:t>µ</w:t>
      </w:r>
      <w:r w:rsidRPr="00741C10">
        <w:t>m</w:t>
      </w:r>
      <w:r>
        <w:t>, Sigma Aldrich</w:t>
      </w:r>
      <w:r w:rsidRPr="00741C10">
        <w:t>) by mixing with 50</w:t>
      </w:r>
      <w:r>
        <w:t xml:space="preserve"> </w:t>
      </w:r>
      <w:r w:rsidRPr="00741C10">
        <w:rPr>
          <w:rFonts w:cs="Arial"/>
        </w:rPr>
        <w:t>µ</w:t>
      </w:r>
      <w:r w:rsidRPr="00741C10">
        <w:t>l of gold (1</w:t>
      </w:r>
      <w:r>
        <w:t xml:space="preserve"> </w:t>
      </w:r>
      <w:r w:rsidRPr="00741C10">
        <w:t>mg/10</w:t>
      </w:r>
      <w:r w:rsidRPr="00741C10">
        <w:rPr>
          <w:rFonts w:cs="Arial"/>
        </w:rPr>
        <w:t>µ</w:t>
      </w:r>
      <w:r w:rsidRPr="00741C10">
        <w:t>l), 20</w:t>
      </w:r>
      <w:r>
        <w:t xml:space="preserve"> </w:t>
      </w:r>
      <w:r w:rsidRPr="00741C10">
        <w:rPr>
          <w:rFonts w:cs="Arial"/>
        </w:rPr>
        <w:t>µ</w:t>
      </w:r>
      <w:r w:rsidRPr="00741C10">
        <w:t xml:space="preserve">l </w:t>
      </w:r>
      <w:r>
        <w:t xml:space="preserve">of </w:t>
      </w:r>
      <w:r w:rsidRPr="00741C10">
        <w:t>0.1</w:t>
      </w:r>
      <w:r>
        <w:t xml:space="preserve"> </w:t>
      </w:r>
      <w:r w:rsidRPr="00741C10">
        <w:t>M spermidine and 50</w:t>
      </w:r>
      <w:r>
        <w:t xml:space="preserve"> </w:t>
      </w:r>
      <w:r w:rsidRPr="00741C10">
        <w:rPr>
          <w:rFonts w:cs="Arial"/>
        </w:rPr>
        <w:t>µ</w:t>
      </w:r>
      <w:r w:rsidRPr="00741C10">
        <w:t>l of 2.5</w:t>
      </w:r>
      <w:r>
        <w:t xml:space="preserve"> </w:t>
      </w:r>
      <w:r w:rsidRPr="00741C10">
        <w:t>M CaCl</w:t>
      </w:r>
      <w:r w:rsidRPr="00741C10">
        <w:rPr>
          <w:rFonts w:cs="Arial"/>
          <w:vertAlign w:val="subscript"/>
        </w:rPr>
        <w:t>2</w:t>
      </w:r>
      <w:r w:rsidRPr="00741C10">
        <w:rPr>
          <w:rFonts w:cs="Arial"/>
        </w:rPr>
        <w:t>. After 20 minutes at room temperature</w:t>
      </w:r>
      <w:r>
        <w:rPr>
          <w:rFonts w:cs="Arial"/>
        </w:rPr>
        <w:t>,</w:t>
      </w:r>
      <w:r w:rsidRPr="00741C10">
        <w:rPr>
          <w:rFonts w:cs="Arial"/>
        </w:rPr>
        <w:t xml:space="preserve"> 90</w:t>
      </w:r>
      <w:r>
        <w:rPr>
          <w:rFonts w:cs="Arial"/>
        </w:rPr>
        <w:t xml:space="preserve"> </w:t>
      </w:r>
      <w:r w:rsidRPr="00741C10">
        <w:rPr>
          <w:rFonts w:cs="Arial"/>
        </w:rPr>
        <w:t xml:space="preserve">µl </w:t>
      </w:r>
      <w:r>
        <w:rPr>
          <w:rFonts w:cs="Arial"/>
        </w:rPr>
        <w:t xml:space="preserve">of </w:t>
      </w:r>
      <w:r w:rsidRPr="00741C10">
        <w:rPr>
          <w:rFonts w:cs="Arial"/>
        </w:rPr>
        <w:t>supernatant was removed and discarded. From the remaining solution, 5</w:t>
      </w:r>
      <w:r>
        <w:rPr>
          <w:rFonts w:cs="Arial"/>
        </w:rPr>
        <w:t xml:space="preserve"> </w:t>
      </w:r>
      <w:r w:rsidRPr="00741C10">
        <w:rPr>
          <w:rFonts w:cs="Arial"/>
        </w:rPr>
        <w:t>µl aliquots were placed onto six Swinnex</w:t>
      </w:r>
      <w:r w:rsidRPr="003162A5">
        <w:rPr>
          <w:rFonts w:cs="Arial"/>
        </w:rPr>
        <w:t xml:space="preserve"> filter holders (13</w:t>
      </w:r>
      <w:r>
        <w:rPr>
          <w:rFonts w:cs="Arial"/>
        </w:rPr>
        <w:t xml:space="preserve"> </w:t>
      </w:r>
      <w:r w:rsidRPr="003162A5">
        <w:rPr>
          <w:rFonts w:cs="Arial"/>
        </w:rPr>
        <w:t xml:space="preserve">mm, Millipore, USA) for bombardment of the prepared </w:t>
      </w:r>
      <w:r>
        <w:rPr>
          <w:rFonts w:cs="Arial"/>
        </w:rPr>
        <w:t xml:space="preserve">somatic embryogenic </w:t>
      </w:r>
      <w:r w:rsidRPr="003162A5">
        <w:rPr>
          <w:rFonts w:cs="Arial"/>
        </w:rPr>
        <w:t xml:space="preserve">tissue with a Particle Inflow Gun </w:t>
      </w:r>
      <w:r>
        <w:rPr>
          <w:rFonts w:cs="Arial"/>
        </w:rPr>
        <w:fldChar w:fldCharType="begin"/>
      </w:r>
      <w:r w:rsidR="004B18ED">
        <w:rPr>
          <w:rFonts w:cs="Arial"/>
        </w:rPr>
        <w:instrText xml:space="preserve"> ADDIN EN.CITE &lt;EndNote&gt;&lt;Cite&gt;&lt;Author&gt;Davies&lt;/Author&gt;&lt;Year&gt;2013&lt;/Year&gt;&lt;RecNum&gt;3875&lt;/RecNum&gt;&lt;DisplayText&gt;[3]&lt;/DisplayText&gt;&lt;record&gt;&lt;rec-number&gt;3875&lt;/rec-number&gt;&lt;foreign-keys&gt;&lt;key app="EN" db-id="tt29xadvldvst1evzfhxt2905zrzvfzdrtf0" timestamp="1594003271" guid="cefe02f7-962c-4d12-a864-f3b0b39be527"&gt;3875&lt;/key&gt;&lt;/foreign-keys&gt;&lt;ref-type name="Book Section"&gt;5&lt;/ref-type&gt;&lt;contributors&gt;&lt;authors&gt;&lt;author&gt;Davies, Kevin M&lt;/author&gt;&lt;author&gt;Deroles, Simon C&lt;/author&gt;&lt;author&gt;Boase, Murray R&lt;/author&gt;&lt;author&gt;Hunter, Don A&lt;/author&gt;&lt;author&gt;Schwinn, Kathy E&lt;/author&gt;&lt;/authors&gt;&lt;/contributors&gt;&lt;titles&gt;&lt;title&gt;Biolistics-based gene silencing in plants using a modified particle inflow gun&lt;/title&gt;&lt;secondary-title&gt;Biolistic DNA Delivery&lt;/secondary-title&gt;&lt;/titles&gt;&lt;pages&gt;63-74&lt;/pages&gt;&lt;dates&gt;&lt;year&gt;2013&lt;/year&gt;&lt;/dates&gt;&lt;publisher&gt;Springer&lt;/publisher&gt;&lt;urls&gt;&lt;/urls&gt;&lt;/record&gt;&lt;/Cite&gt;&lt;/EndNote&gt;</w:instrText>
      </w:r>
      <w:r>
        <w:rPr>
          <w:rFonts w:cs="Arial"/>
        </w:rPr>
        <w:fldChar w:fldCharType="separate"/>
      </w:r>
      <w:r w:rsidR="004B18ED">
        <w:rPr>
          <w:rFonts w:cs="Arial"/>
          <w:noProof/>
        </w:rPr>
        <w:t>[3]</w:t>
      </w:r>
      <w:r>
        <w:rPr>
          <w:rFonts w:cs="Arial"/>
        </w:rPr>
        <w:fldChar w:fldCharType="end"/>
      </w:r>
      <w:r w:rsidRPr="003162A5">
        <w:rPr>
          <w:rFonts w:cs="Arial"/>
        </w:rPr>
        <w:t xml:space="preserve"> </w:t>
      </w:r>
      <w:r>
        <w:rPr>
          <w:rFonts w:cs="Arial"/>
        </w:rPr>
        <w:t xml:space="preserve">using the following settings: </w:t>
      </w:r>
      <w:r w:rsidRPr="00741C10">
        <w:t>helium pressure, 900</w:t>
      </w:r>
      <w:r>
        <w:t xml:space="preserve"> </w:t>
      </w:r>
      <w:proofErr w:type="spellStart"/>
      <w:r w:rsidRPr="00741C10">
        <w:t>kpa</w:t>
      </w:r>
      <w:proofErr w:type="spellEnd"/>
      <w:r w:rsidRPr="00741C10">
        <w:t>; solenoid valve opening time, 30</w:t>
      </w:r>
      <w:r>
        <w:t xml:space="preserve"> </w:t>
      </w:r>
      <w:proofErr w:type="spellStart"/>
      <w:r w:rsidRPr="00741C10">
        <w:t>ms</w:t>
      </w:r>
      <w:proofErr w:type="spellEnd"/>
      <w:r w:rsidRPr="00741C10">
        <w:t>; shooting distance, 19</w:t>
      </w:r>
      <w:r>
        <w:t xml:space="preserve"> </w:t>
      </w:r>
      <w:r w:rsidRPr="00741C10">
        <w:t>cm (lowest shelf position); chamber vacuum, -96</w:t>
      </w:r>
      <w:r>
        <w:t xml:space="preserve"> </w:t>
      </w:r>
      <w:r w:rsidRPr="00741C10">
        <w:t>kPa (-14 psi)</w:t>
      </w:r>
      <w:r>
        <w:t xml:space="preserve">. </w:t>
      </w:r>
      <w:r w:rsidRPr="00741C10">
        <w:t>Tissue was then pla</w:t>
      </w:r>
      <w:r>
        <w:t>ced in a dark culture room at 24</w:t>
      </w:r>
      <w:r w:rsidRPr="00741C10">
        <w:rPr>
          <w:rFonts w:ascii="Verdana" w:hAnsi="Verdana"/>
        </w:rPr>
        <w:t>°</w:t>
      </w:r>
      <w:r w:rsidRPr="00741C10">
        <w:t>C</w:t>
      </w:r>
      <w:r>
        <w:t>.</w:t>
      </w:r>
    </w:p>
    <w:p w14:paraId="0D1C2215" w14:textId="77777777" w:rsidR="00774EC0" w:rsidRDefault="00774EC0" w:rsidP="00774EC0">
      <w:pPr>
        <w:pStyle w:val="Heading3"/>
      </w:pPr>
      <w:r>
        <w:t>CRISPR-RNP complex assembly (</w:t>
      </w:r>
      <w:r w:rsidRPr="00C54FBE">
        <w:t>SpCas9/gRNA 1:1.2 molar ratio)</w:t>
      </w:r>
      <w:r>
        <w:t xml:space="preserve"> </w:t>
      </w:r>
    </w:p>
    <w:p w14:paraId="0B544671" w14:textId="5C23BAA6" w:rsidR="00774EC0" w:rsidRPr="00741C10" w:rsidRDefault="00774EC0" w:rsidP="00774EC0">
      <w:pPr>
        <w:rPr>
          <w:rFonts w:cs="Arial"/>
        </w:rPr>
      </w:pPr>
      <w:r>
        <w:t xml:space="preserve">Custom synthesized crRNAs (10 nmol), tracrRNA (100 nmol), Alt-R SpCas9 Nuclease 3NLS (61 </w:t>
      </w:r>
      <w:r w:rsidRPr="72ACBFEF">
        <w:rPr>
          <w:rFonts w:cs="Arial"/>
        </w:rPr>
        <w:t>µ</w:t>
      </w:r>
      <w:r>
        <w:t xml:space="preserve">M) and Alt-R SpCas9 nuclease V3 (61.6 </w:t>
      </w:r>
      <w:r w:rsidRPr="72ACBFEF">
        <w:rPr>
          <w:rFonts w:cs="Arial"/>
        </w:rPr>
        <w:t>µ</w:t>
      </w:r>
      <w:r>
        <w:t>M) were obtained from I</w:t>
      </w:r>
      <w:r w:rsidR="00CC67D2">
        <w:t>ntegrated DNA Technologies</w:t>
      </w:r>
      <w:bookmarkStart w:id="0" w:name="_GoBack"/>
      <w:bookmarkEnd w:id="0"/>
      <w:r>
        <w:t xml:space="preserve">, </w:t>
      </w:r>
      <w:r w:rsidR="00CC67D2">
        <w:t>(</w:t>
      </w:r>
      <w:r>
        <w:t>Coralville, IA, USA</w:t>
      </w:r>
      <w:r w:rsidR="00CC67D2">
        <w:t>)</w:t>
      </w:r>
      <w:r>
        <w:t xml:space="preserve">. The lyophilized crRNAs and tracrRNA stocks were </w:t>
      </w:r>
      <w:r>
        <w:lastRenderedPageBreak/>
        <w:t xml:space="preserve">dissolved in nuclease free duplex buffer to obtain a concentration of 100 </w:t>
      </w:r>
      <w:r w:rsidRPr="72ACBFEF">
        <w:rPr>
          <w:rFonts w:cs="Arial"/>
        </w:rPr>
        <w:t>µ</w:t>
      </w:r>
      <w:r>
        <w:t>M. To form 25</w:t>
      </w:r>
      <w:r w:rsidRPr="72ACBFEF">
        <w:rPr>
          <w:rFonts w:cs="Arial"/>
        </w:rPr>
        <w:t xml:space="preserve"> µ</w:t>
      </w:r>
      <w:r>
        <w:t xml:space="preserve">M gRNA duplexes (site1 or site3); 3 </w:t>
      </w:r>
      <w:r w:rsidRPr="72ACBFEF">
        <w:rPr>
          <w:rFonts w:cs="Arial"/>
        </w:rPr>
        <w:t>µl</w:t>
      </w:r>
      <w:r>
        <w:t xml:space="preserve"> of crRNA and 3 </w:t>
      </w:r>
      <w:r w:rsidRPr="72ACBFEF">
        <w:rPr>
          <w:rFonts w:cs="Arial"/>
        </w:rPr>
        <w:t>µl</w:t>
      </w:r>
      <w:r>
        <w:t xml:space="preserve"> of tracrRNA </w:t>
      </w:r>
      <w:r w:rsidRPr="72ACBFEF">
        <w:rPr>
          <w:rFonts w:cs="Arial"/>
        </w:rPr>
        <w:t>were mixed with 6</w:t>
      </w:r>
      <w:r>
        <w:rPr>
          <w:rFonts w:cs="Arial"/>
        </w:rPr>
        <w:t xml:space="preserve"> </w:t>
      </w:r>
      <w:r w:rsidRPr="72ACBFEF">
        <w:rPr>
          <w:rFonts w:cs="Arial"/>
        </w:rPr>
        <w:t xml:space="preserve">µl of </w:t>
      </w:r>
      <w:r>
        <w:t>duplex buffer and annealed by heating to 95</w:t>
      </w:r>
      <w:r w:rsidRPr="72ACBFEF">
        <w:rPr>
          <w:vertAlign w:val="superscript"/>
        </w:rPr>
        <w:t>o</w:t>
      </w:r>
      <w:r>
        <w:t xml:space="preserve">C for 5 mins and slowly cooling to RT. The RNP complexes were assembled by mixing 6 </w:t>
      </w:r>
      <w:r w:rsidRPr="72ACBFEF">
        <w:rPr>
          <w:rFonts w:cs="Arial"/>
        </w:rPr>
        <w:t>µl of each gRNA duplex with 2</w:t>
      </w:r>
      <w:r>
        <w:rPr>
          <w:rFonts w:cs="Arial"/>
        </w:rPr>
        <w:t xml:space="preserve"> </w:t>
      </w:r>
      <w:r w:rsidRPr="72ACBFEF">
        <w:rPr>
          <w:rFonts w:cs="Arial"/>
        </w:rPr>
        <w:t>µl of Alt-R SpCas9 nuclease 3NLS or Alt-R SpCas9 nuclease V3 and 1</w:t>
      </w:r>
      <w:r>
        <w:rPr>
          <w:rFonts w:cs="Arial"/>
        </w:rPr>
        <w:t xml:space="preserve"> </w:t>
      </w:r>
      <w:r w:rsidRPr="72ACBFEF">
        <w:rPr>
          <w:rFonts w:cs="Arial"/>
        </w:rPr>
        <w:t>µl each of 10x PBS (pH</w:t>
      </w:r>
      <w:r>
        <w:rPr>
          <w:rFonts w:cs="Arial"/>
        </w:rPr>
        <w:t xml:space="preserve"> </w:t>
      </w:r>
      <w:r w:rsidRPr="72ACBFEF">
        <w:rPr>
          <w:rFonts w:cs="Arial"/>
        </w:rPr>
        <w:t>7.4) and s</w:t>
      </w:r>
      <w:r>
        <w:rPr>
          <w:rFonts w:cs="Arial"/>
        </w:rPr>
        <w:t xml:space="preserve">terile </w:t>
      </w:r>
      <w:r w:rsidRPr="72ACBFEF">
        <w:rPr>
          <w:rFonts w:cs="Arial"/>
        </w:rPr>
        <w:t>H</w:t>
      </w:r>
      <w:r w:rsidRPr="72ACBFEF">
        <w:rPr>
          <w:rFonts w:cs="Arial"/>
          <w:vertAlign w:val="subscript"/>
        </w:rPr>
        <w:t>2</w:t>
      </w:r>
      <w:r w:rsidRPr="72ACBFEF">
        <w:rPr>
          <w:rFonts w:cs="Arial"/>
        </w:rPr>
        <w:t>O. The solution was carefully mixed by pipetting, incubated at RT for 30</w:t>
      </w:r>
      <w:r>
        <w:rPr>
          <w:rFonts w:cs="Arial"/>
        </w:rPr>
        <w:t xml:space="preserve"> </w:t>
      </w:r>
      <w:r w:rsidRPr="72ACBFEF">
        <w:rPr>
          <w:rFonts w:cs="Arial"/>
        </w:rPr>
        <w:t>min and stored at -20</w:t>
      </w:r>
      <w:r w:rsidRPr="72ACBFEF">
        <w:rPr>
          <w:rFonts w:cs="Arial"/>
          <w:vertAlign w:val="superscript"/>
        </w:rPr>
        <w:t>o</w:t>
      </w:r>
      <w:r w:rsidRPr="72ACBFEF">
        <w:rPr>
          <w:rFonts w:cs="Arial"/>
        </w:rPr>
        <w:t xml:space="preserve">C until required. </w:t>
      </w:r>
    </w:p>
    <w:p w14:paraId="2FC753DE" w14:textId="77777777" w:rsidR="00774EC0" w:rsidRPr="00BE3136" w:rsidRDefault="00774EC0" w:rsidP="00774EC0">
      <w:pPr>
        <w:pStyle w:val="Heading3"/>
      </w:pPr>
      <w:r w:rsidRPr="007B4F10">
        <w:t xml:space="preserve">Particle Bombardment using </w:t>
      </w:r>
      <w:r w:rsidRPr="00E829FD">
        <w:t>Hybrid RNP complex/selection vector.</w:t>
      </w:r>
    </w:p>
    <w:p w14:paraId="0CE92772" w14:textId="19E6F3C5" w:rsidR="00774EC0" w:rsidRDefault="00774EC0" w:rsidP="00774EC0">
      <w:pPr>
        <w:rPr>
          <w:rFonts w:cs="Arial"/>
        </w:rPr>
      </w:pPr>
      <w:r w:rsidRPr="00741C10">
        <w:rPr>
          <w:rFonts w:cs="Arial"/>
        </w:rPr>
        <w:t>To prepare the gold particles 5</w:t>
      </w:r>
      <w:r>
        <w:rPr>
          <w:rFonts w:cs="Arial"/>
        </w:rPr>
        <w:t xml:space="preserve"> </w:t>
      </w:r>
      <w:r w:rsidRPr="00741C10">
        <w:rPr>
          <w:rFonts w:cs="Arial"/>
        </w:rPr>
        <w:t>µl of each RNP complex (</w:t>
      </w:r>
      <w:r>
        <w:rPr>
          <w:rFonts w:cs="Arial"/>
        </w:rPr>
        <w:t>site1</w:t>
      </w:r>
      <w:r w:rsidRPr="00741C10">
        <w:rPr>
          <w:rFonts w:cs="Arial"/>
        </w:rPr>
        <w:t xml:space="preserve"> or </w:t>
      </w:r>
      <w:r>
        <w:rPr>
          <w:rFonts w:cs="Arial"/>
        </w:rPr>
        <w:t>site3</w:t>
      </w:r>
      <w:r w:rsidRPr="00741C10">
        <w:rPr>
          <w:rFonts w:cs="Arial"/>
        </w:rPr>
        <w:t>) and 2.5</w:t>
      </w:r>
      <w:r>
        <w:rPr>
          <w:rFonts w:cs="Arial"/>
        </w:rPr>
        <w:t xml:space="preserve"> </w:t>
      </w:r>
      <w:r w:rsidRPr="00741C10">
        <w:rPr>
          <w:rFonts w:cs="Arial"/>
        </w:rPr>
        <w:t xml:space="preserve">µl of </w:t>
      </w:r>
      <w:r>
        <w:rPr>
          <w:rFonts w:cs="Arial"/>
        </w:rPr>
        <w:t xml:space="preserve">pRN2; a ZmUbi promoter::NptII geneticin selection </w:t>
      </w:r>
      <w:r w:rsidRPr="00741C10">
        <w:rPr>
          <w:rFonts w:cs="Arial"/>
        </w:rPr>
        <w:t>vector (1.5</w:t>
      </w:r>
      <w:r>
        <w:rPr>
          <w:rFonts w:cs="Arial"/>
        </w:rPr>
        <w:t xml:space="preserve"> </w:t>
      </w:r>
      <w:r w:rsidRPr="00741C10">
        <w:rPr>
          <w:rFonts w:cs="Arial"/>
        </w:rPr>
        <w:t>µg/µl)</w:t>
      </w:r>
      <w:r>
        <w:rPr>
          <w:rFonts w:cs="Arial"/>
        </w:rPr>
        <w:t xml:space="preserve"> </w:t>
      </w:r>
      <w:r>
        <w:rPr>
          <w:rFonts w:cs="Arial"/>
        </w:rPr>
        <w:fldChar w:fldCharType="begin">
          <w:fldData xml:space="preserve">PEVuZE5vdGU+PENpdGU+PEF1dGhvcj5HcmFjZTwvQXV0aG9yPjxZZWFyPjIwMDU8L1llYXI+PFJl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</w:fldData>
        </w:fldChar>
      </w:r>
      <w:r w:rsidR="004B18ED">
        <w:rPr>
          <w:rFonts w:cs="Arial"/>
        </w:rPr>
        <w:instrText xml:space="preserve"> ADDIN EN.CITE </w:instrText>
      </w:r>
      <w:r w:rsidR="004B18ED">
        <w:rPr>
          <w:rFonts w:cs="Arial"/>
        </w:rPr>
        <w:fldChar w:fldCharType="begin">
          <w:fldData xml:space="preserve">PEVuZE5vdGU+PENpdGU+PEF1dGhvcj5HcmFjZTwvQXV0aG9yPjxZZWFyPjIwMDU8L1llYXI+PFJl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</w:fldData>
        </w:fldChar>
      </w:r>
      <w:r w:rsidR="004B18ED">
        <w:rPr>
          <w:rFonts w:cs="Arial"/>
        </w:rPr>
        <w:instrText xml:space="preserve"> ADDIN EN.CITE.DATA </w:instrText>
      </w:r>
      <w:r w:rsidR="004B18ED">
        <w:rPr>
          <w:rFonts w:cs="Arial"/>
        </w:rPr>
      </w:r>
      <w:r w:rsidR="004B18ED">
        <w:rPr>
          <w:rFonts w:cs="Arial"/>
        </w:rPr>
        <w:fldChar w:fldCharType="end"/>
      </w:r>
      <w:r>
        <w:rPr>
          <w:rFonts w:cs="Arial"/>
        </w:rPr>
      </w:r>
      <w:r>
        <w:rPr>
          <w:rFonts w:cs="Arial"/>
        </w:rPr>
        <w:fldChar w:fldCharType="separate"/>
      </w:r>
      <w:r w:rsidR="004B18ED">
        <w:rPr>
          <w:rFonts w:cs="Arial"/>
          <w:noProof/>
        </w:rPr>
        <w:t>[4]</w:t>
      </w:r>
      <w:r>
        <w:rPr>
          <w:rFonts w:cs="Arial"/>
        </w:rPr>
        <w:fldChar w:fldCharType="end"/>
      </w:r>
      <w:r w:rsidRPr="00741C10">
        <w:rPr>
          <w:rFonts w:cs="Arial"/>
        </w:rPr>
        <w:t xml:space="preserve"> were added to a microfuge tube containing 7 mg gold in 30</w:t>
      </w:r>
      <w:r>
        <w:rPr>
          <w:rFonts w:cs="Arial"/>
        </w:rPr>
        <w:t xml:space="preserve"> </w:t>
      </w:r>
      <w:r w:rsidRPr="00741C10">
        <w:rPr>
          <w:rFonts w:cs="Arial"/>
        </w:rPr>
        <w:t>µl s</w:t>
      </w:r>
      <w:r>
        <w:rPr>
          <w:rFonts w:cs="Arial"/>
        </w:rPr>
        <w:t xml:space="preserve">terile </w:t>
      </w:r>
      <w:r w:rsidRPr="00741C10">
        <w:rPr>
          <w:rFonts w:cs="Arial"/>
        </w:rPr>
        <w:t>H</w:t>
      </w:r>
      <w:r w:rsidRPr="00741C10">
        <w:rPr>
          <w:rFonts w:cs="Arial"/>
          <w:vertAlign w:val="subscript"/>
        </w:rPr>
        <w:t>2</w:t>
      </w:r>
      <w:r w:rsidRPr="00741C10">
        <w:rPr>
          <w:rFonts w:cs="Arial"/>
        </w:rPr>
        <w:t>O and mixed thoroughly by pipetting. Particle bombardment</w:t>
      </w:r>
      <w:r w:rsidRPr="73491A62">
        <w:rPr>
          <w:rFonts w:cs="Arial"/>
        </w:rPr>
        <w:t xml:space="preserve"> </w:t>
      </w:r>
      <w:r w:rsidRPr="00741C10">
        <w:rPr>
          <w:rFonts w:cs="Arial"/>
        </w:rPr>
        <w:t xml:space="preserve">was </w:t>
      </w:r>
      <w:r w:rsidRPr="73491A62">
        <w:rPr>
          <w:rFonts w:cs="Arial"/>
        </w:rPr>
        <w:t xml:space="preserve">performed </w:t>
      </w:r>
      <w:r w:rsidRPr="00741C10">
        <w:rPr>
          <w:rFonts w:cs="Arial"/>
        </w:rPr>
        <w:t>as above</w:t>
      </w:r>
      <w:r w:rsidRPr="73491A62">
        <w:rPr>
          <w:rFonts w:cs="Arial"/>
        </w:rPr>
        <w:t xml:space="preserve"> using </w:t>
      </w:r>
      <w:r w:rsidRPr="00741C10">
        <w:rPr>
          <w:rFonts w:cs="Arial"/>
        </w:rPr>
        <w:t>7</w:t>
      </w:r>
      <w:r>
        <w:rPr>
          <w:rFonts w:cs="Arial"/>
        </w:rPr>
        <w:t xml:space="preserve"> </w:t>
      </w:r>
      <w:r w:rsidRPr="00741C10">
        <w:rPr>
          <w:rFonts w:cs="Arial"/>
        </w:rPr>
        <w:t>µl aliquots</w:t>
      </w:r>
      <w:r w:rsidRPr="73491A62">
        <w:rPr>
          <w:rFonts w:cs="Arial"/>
        </w:rPr>
        <w:t xml:space="preserve"> of coated gold.</w:t>
      </w:r>
    </w:p>
    <w:p w14:paraId="3E4086DD" w14:textId="77777777" w:rsidR="00774EC0" w:rsidRDefault="00774EC0" w:rsidP="00774EC0">
      <w:pPr>
        <w:pStyle w:val="Heading3"/>
      </w:pPr>
      <w:r>
        <w:t xml:space="preserve"> Post Bombardment Selection </w:t>
      </w:r>
    </w:p>
    <w:p w14:paraId="4C829DBB" w14:textId="77777777" w:rsidR="00774EC0" w:rsidRDefault="00774EC0" w:rsidP="00774EC0">
      <w:r>
        <w:t>After 24 hours, the filter papers with embryogenic tissue were placed onto selection media (Glitz2 containing 15 mg/L geneticin) and returned to the dark room. Four to eight weeks later putative transgenic tissue was isolated and proliferated on selection media for one month. Confirmed genome-edited embryogenic tissue was proliferated without selection until a sufficient amount of material was available for plant maturation protocols.</w:t>
      </w:r>
    </w:p>
    <w:p w14:paraId="3020483F" w14:textId="77777777" w:rsidR="00774EC0" w:rsidRPr="003D2FCC" w:rsidRDefault="00774EC0" w:rsidP="00774EC0">
      <w:pPr>
        <w:pStyle w:val="Heading3"/>
      </w:pPr>
      <w:r w:rsidRPr="003D2FCC">
        <w:t>Somatic Embryo Maturation</w:t>
      </w:r>
      <w:r>
        <w:t xml:space="preserve"> and germination</w:t>
      </w:r>
      <w:r w:rsidRPr="003D2FCC">
        <w:t> </w:t>
      </w:r>
    </w:p>
    <w:p w14:paraId="61806383" w14:textId="4A0A79D6" w:rsidR="00774EC0" w:rsidRPr="003D2FCC" w:rsidRDefault="00774EC0" w:rsidP="00774EC0">
      <w:r>
        <w:t xml:space="preserve">To obtain mature somatic embryos 5 x 100 mg lumps of 10-day old Glitz2-proliferated tissue were transferred onto a Litvay-based maturation medium containing ½ strength Litvay macro nutrients, full strength micro nutrients (with the exception of manganese sulphate at 0.124 </w:t>
      </w:r>
      <w:proofErr w:type="spellStart"/>
      <w:r>
        <w:t>mM</w:t>
      </w:r>
      <w:proofErr w:type="spellEnd"/>
      <w:r>
        <w:t xml:space="preserve"> concentration) </w:t>
      </w:r>
      <w:r>
        <w:fldChar w:fldCharType="begin"/>
      </w:r>
      <w:r w:rsidR="00B1353D">
        <w:instrText xml:space="preserve"> ADDIN EN.CITE &lt;EndNote&gt;&lt;Cite&gt;&lt;Author&gt;Litvay&lt;/Author&gt;&lt;Year&gt;1985&lt;/Year&gt;&lt;RecNum&gt;2001&lt;/RecNum&gt;&lt;DisplayText&gt;[1]&lt;/DisplayText&gt;&lt;record&gt;&lt;rec-number&gt;2001&lt;/rec-number&gt;&lt;foreign-keys&gt;&lt;key app="EN" db-id="tt29xadvldvst1evzfhxt2905zrzvfzdrtf0" timestamp="1538965607" guid="ea0a9986-764c-46ec-b6bf-6b63c9dce277"&gt;2001&lt;/key&gt;&lt;/foreign-keys&gt;&lt;ref-type name="Journal Article"&gt;17&lt;/ref-type&gt;&lt;contributors&gt;&lt;authors&gt;&lt;author&gt;Litvay, J. D.&lt;/author&gt;&lt;author&gt;Verma, D. C.&lt;/author&gt;&lt;author&gt;Johnson, M. A.&lt;/author&gt;&lt;/authors&gt;&lt;/contributors&gt;&lt;auth-address&gt;Forest Biology Section, The Institute of Paper Chemistry, P.O. Box 1039, 54912, Appleton, WI, USA.&lt;/auth-address&gt;&lt;titles&gt;&lt;title&gt;&lt;style face="normal" font="default" size="100%"&gt;Influence of a loblolly pine (&lt;/style&gt;&lt;style face="italic" font="default" size="100%"&gt;Pinus taeda&lt;/style&gt;&lt;style face="normal" font="default" size="100%"&gt; L.). Culture medium and its components on growth and somatic embryogenesis of the wild carrot (&lt;/style&gt;&lt;style face="italic" font="default" size="100%"&gt;Daucus carota&lt;/style&gt;&lt;style face="normal" font="default" size="100%"&gt; L.)&lt;/style&gt;&lt;/title&gt;&lt;secondary-title&gt;Plant Cell Rep&lt;/secondary-title&gt;&lt;/titles&gt;&lt;periodical&gt;&lt;full-title&gt;Plant Cell Rep&lt;/full-title&gt;&lt;/periodical&gt;&lt;pages&gt;325-8&lt;/pages&gt;&lt;volume&gt;4&lt;/volume&gt;&lt;number&gt;6&lt;/number&gt;&lt;edition&gt;1985/12/01&lt;/edition&gt;&lt;dates&gt;&lt;year&gt;1985&lt;/year&gt;&lt;pub-dates&gt;&lt;date&gt;Dec&lt;/date&gt;&lt;/pub-dates&gt;&lt;/dates&gt;&lt;isbn&gt;0721-7714 (Print)&amp;#xD;0721-7714 (Linking)&lt;/isbn&gt;&lt;accession-num&gt;24254074&lt;/accession-num&gt;&lt;urls&gt;&lt;related-urls&gt;&lt;url&gt;https://www.ncbi.nlm.nih.gov/pubmed/24254074&lt;/url&gt;&lt;/related-urls&gt;&lt;/urls&gt;&lt;electronic-resource-num&gt;10.1007/BF00269890&lt;/electronic-resource-num&gt;&lt;/record&gt;&lt;/Cite&gt;&lt;/EndNote&gt;</w:instrText>
      </w:r>
      <w:r>
        <w:fldChar w:fldCharType="separate"/>
      </w:r>
      <w:r w:rsidR="004B18ED">
        <w:rPr>
          <w:noProof/>
        </w:rPr>
        <w:t>[1]</w:t>
      </w:r>
      <w:r>
        <w:fldChar w:fldCharType="end"/>
      </w:r>
      <w:r>
        <w:t xml:space="preserve">, supplemented with the iron, vitamins, and amino acids from Smith EDM medium </w:t>
      </w:r>
      <w:r>
        <w:fldChar w:fldCharType="begin"/>
      </w:r>
      <w:r w:rsidR="004B18ED">
        <w:instrText xml:space="preserve"> ADDIN EN.CITE &lt;EndNote&gt;&lt;Cite&gt;&lt;Author&gt;Smith&lt;/Author&gt;&lt;Year&gt;1996&lt;/Year&gt;&lt;RecNum&gt;4156&lt;/RecNum&gt;&lt;DisplayText&gt;[5]&lt;/DisplayText&gt;&lt;record&gt;&lt;rec-number&gt;4156&lt;/rec-number&gt;&lt;foreign-keys&gt;&lt;key app="EN" db-id="tt29xadvldvst1evzfhxt2905zrzvfzdrtf0" timestamp="1603233309" guid="10840755-fe3f-4a82-a310-c466e5e7cccc"&gt;4156&lt;/key&gt;&lt;/foreign-keys&gt;&lt;ref-type name="Patent"&gt;25&lt;/ref-type&gt;&lt;contributors&gt;&lt;authors&gt;&lt;author&gt;Smith, Dale R&lt;/author&gt;&lt;/authors&gt;&lt;/contributors&gt;&lt;titles&gt;&lt;title&gt;Growth medium&lt;/title&gt;&lt;/titles&gt;&lt;num-vols&gt;435/240.49; 435/240.45; 435/240.48; 435/240.5: 800/200; 800/DIG. 49; 800/DIG. 50, 800/DIG. 51&lt;/num-vols&gt;&lt;dates&gt;&lt;year&gt;1996&lt;/year&gt;&lt;/dates&gt;&lt;pub-location&gt;US&lt;/pub-location&gt;&lt;publisher&gt;US&lt;/publisher&gt;&lt;isbn&gt;5,565,355&lt;/isbn&gt;&lt;urls&gt;&lt;/urls&gt;&lt;/record&gt;&lt;/Cite&gt;&lt;/EndNote&gt;</w:instrText>
      </w:r>
      <w:r>
        <w:fldChar w:fldCharType="separate"/>
      </w:r>
      <w:r w:rsidR="004B18ED">
        <w:rPr>
          <w:noProof/>
        </w:rPr>
        <w:t>[5]</w:t>
      </w:r>
      <w:r>
        <w:fldChar w:fldCharType="end"/>
      </w:r>
      <w:r>
        <w:t xml:space="preserve">, 60 g/L of sucrose, 56.7 µM abscisic acid, and 8 g/L </w:t>
      </w:r>
      <w:proofErr w:type="spellStart"/>
      <w:r>
        <w:t>gellan</w:t>
      </w:r>
      <w:proofErr w:type="spellEnd"/>
      <w:r>
        <w:t xml:space="preserve"> gum (Phytagel</w:t>
      </w:r>
      <w:r w:rsidRPr="1446CE94">
        <w:rPr>
          <w:rFonts w:ascii="Arial Narrow" w:hAnsi="Arial Narrow"/>
          <w:vertAlign w:val="superscript"/>
        </w:rPr>
        <w:t>®</w:t>
      </w:r>
      <w:r>
        <w:t>, Sigma). Cultures were grown in the dark at 24</w:t>
      </w:r>
      <w:r w:rsidRPr="1446CE94">
        <w:rPr>
          <w:vertAlign w:val="superscript"/>
        </w:rPr>
        <w:t>o</w:t>
      </w:r>
      <w:r>
        <w:t xml:space="preserve">C. After two weeks the tissue was subcultured onto fresh </w:t>
      </w:r>
      <w:r>
        <w:lastRenderedPageBreak/>
        <w:t xml:space="preserve">maturation media of the same composition and grown for a further 8-12 weeks. Mature somatic embryos were periodically harvested onto a modified BMG-2 </w:t>
      </w:r>
      <w:r>
        <w:fldChar w:fldCharType="begin"/>
      </w:r>
      <w:r w:rsidR="004B18ED">
        <w:instrText xml:space="preserve"> ADDIN EN.CITE &lt;EndNote&gt;&lt;Cite&gt;&lt;Author&gt;Krogstrup&lt;/Author&gt;&lt;Year&gt;1986&lt;/Year&gt;&lt;RecNum&gt;4153&lt;/RecNum&gt;&lt;DisplayText&gt;[6, 7]&lt;/DisplayText&gt;&lt;record&gt;&lt;rec-number&gt;4153&lt;/rec-number&gt;&lt;foreign-keys&gt;&lt;key app="EN" db-id="tt29xadvldvst1evzfhxt2905zrzvfzdrtf0" timestamp="1603229562" guid="ae21ac86-c2d8-4444-8f1d-df95c78be5cf"&gt;4153&lt;/key&gt;&lt;/foreign-keys&gt;&lt;ref-type name="Journal Article"&gt;17&lt;/ref-type&gt;&lt;contributors&gt;&lt;authors&gt;&lt;author&gt;Krogstrup, P&lt;/author&gt;&lt;/authors&gt;&lt;/contributors&gt;&lt;titles&gt;&lt;title&gt;&lt;style face="normal" font="default" size="100%"&gt;Embryo like structures from cotyledons and ripe embryos of Norway spruce (&lt;/style&gt;&lt;style face="italic" font="default" size="100%"&gt;Picea abies&lt;/style&gt;&lt;style face="normal" font="default" size="100%"&gt;)&lt;/style&gt;&lt;/title&gt;&lt;secondary-title&gt;Can J For Res&lt;/secondary-title&gt;&lt;/titles&gt;&lt;periodical&gt;&lt;full-title&gt;Can J For Res&lt;/full-title&gt;&lt;/periodical&gt;&lt;pages&gt;664-668&lt;/pages&gt;&lt;volume&gt;16&lt;/volume&gt;&lt;number&gt;3&lt;/number&gt;&lt;dates&gt;&lt;year&gt;1986&lt;/year&gt;&lt;/dates&gt;&lt;urls&gt;&lt;/urls&gt;&lt;/record&gt;&lt;/Cite&gt;&lt;Cite&gt;&lt;Author&gt;Krogstrup&lt;/Author&gt;&lt;Year&gt;1988&lt;/Year&gt;&lt;RecNum&gt;4179&lt;/RecNum&gt;&lt;record&gt;&lt;rec-number&gt;4179&lt;/rec-number&gt;&lt;foreign-keys&gt;&lt;key app="EN" db-id="tt29xadvldvst1evzfhxt2905zrzvfzdrtf0" timestamp="1603847017" guid="7c1911e2-a0bc-4707-90c0-1b34d171dbc7"&gt;4179&lt;/key&gt;&lt;/foreign-keys&gt;&lt;ref-type name="Journal Article"&gt;17&lt;/ref-type&gt;&lt;contributors&gt;&lt;authors&gt;&lt;author&gt;Krogstrup, Peter&lt;/author&gt;&lt;author&gt;Eriksen, Erik N&lt;/author&gt;&lt;author&gt;Møller, Jette D&lt;/author&gt;&lt;author&gt;Roulund, Hans&lt;/author&gt;&lt;/authors&gt;&lt;/contributors&gt;&lt;titles&gt;&lt;title&gt;&lt;style face="normal" font="default" size="100%"&gt;Somatic embryogenesis in sitka spruce (&lt;/style&gt;&lt;style face="italic" font="default" size="100%"&gt;Picea sitchensis&lt;/style&gt;&lt;style face="normal" font="default" size="100%"&gt; (Bong.) Carr.)&lt;/style&gt;&lt;/title&gt;&lt;secondary-title&gt;Plant Cell Reports&lt;/secondary-title&gt;&lt;/titles&gt;&lt;periodical&gt;&lt;full-title&gt;Plant Cell Reports&lt;/full-title&gt;&lt;/periodical&gt;&lt;pages&gt;594-597&lt;/pages&gt;&lt;volume&gt;7&lt;/volume&gt;&lt;number&gt;7&lt;/number&gt;&lt;dates&gt;&lt;year&gt;1988&lt;/year&gt;&lt;/dates&gt;&lt;isbn&gt;0721-7714&lt;/isbn&gt;&lt;urls&gt;&lt;/urls&gt;&lt;/record&gt;&lt;/Cite&gt;&lt;/EndNote&gt;</w:instrText>
      </w:r>
      <w:r>
        <w:fldChar w:fldCharType="separate"/>
      </w:r>
      <w:r w:rsidR="004B18ED">
        <w:rPr>
          <w:noProof/>
        </w:rPr>
        <w:t>[6, 7]</w:t>
      </w:r>
      <w:r>
        <w:fldChar w:fldCharType="end"/>
      </w:r>
      <w:r>
        <w:t xml:space="preserve"> germination medium, KNV87 </w:t>
      </w:r>
      <w:r>
        <w:fldChar w:fldCharType="begin"/>
      </w:r>
      <w:r w:rsidR="00B1353D">
        <w:instrText xml:space="preserve"> ADDIN EN.CITE &lt;EndNote&gt;&lt;Cite&gt;&lt;Author&gt;Hargreaves&lt;/Author&gt;&lt;Year&gt;2016&lt;/Year&gt;&lt;RecNum&gt;4063&lt;/RecNum&gt;&lt;DisplayText&gt;[2]&lt;/DisplayText&gt;&lt;record&gt;&lt;rec-number&gt;4063&lt;/rec-number&gt;&lt;foreign-keys&gt;&lt;key app="EN" db-id="tt29xadvldvst1evzfhxt2905zrzvfzdrtf0" timestamp="1601431795" guid="35ad89ee-ba31-490a-b382-9b36e7e2e13b"&gt;4063&lt;/key&gt;&lt;/foreign-keys&gt;&lt;ref-type name="Journal Article"&gt;17&lt;/ref-type&gt;&lt;contributors&gt;&lt;authors&gt;&lt;author&gt;Hargreaves, Cathy&lt;/author&gt;&lt;author&gt;Reeves, Cathie&lt;/author&gt;&lt;author&gt;Gough, Keiko&lt;/author&gt;&lt;author&gt;Montalbán, Itziar Aurora&lt;/author&gt;&lt;author&gt;Low, Charlie&lt;/author&gt;&lt;author&gt;Van Ballekom, Shaf&lt;/author&gt;&lt;author&gt;Dungey, Heidi S.&lt;/author&gt;&lt;author&gt;Moncaleán, Paloma&lt;/author&gt;&lt;/authors&gt;&lt;/contributors&gt;&lt;titles&gt;&lt;title&gt;Nurse tissue for embryo rescue: testing new conifer somatic embryogenesis methods in a F1 hybrid pine&lt;/title&gt;&lt;secondary-title&gt;Trees&lt;/secondary-title&gt;&lt;/titles&gt;&lt;periodical&gt;&lt;full-title&gt;Trees&lt;/full-title&gt;&lt;/periodical&gt;&lt;pages&gt;273-283&lt;/pages&gt;&lt;volume&gt;31&lt;/volume&gt;&lt;number&gt;1&lt;/number&gt;&lt;section&gt;273&lt;/section&gt;&lt;dates&gt;&lt;year&gt;2016&lt;/year&gt;&lt;/dates&gt;&lt;isbn&gt;0931-1890&amp;#xD;1432-2285&lt;/isbn&gt;&lt;urls&gt;&lt;/urls&gt;&lt;electronic-resource-num&gt;10.1007/s00468-016-1482-6&lt;/electronic-resource-num&gt;&lt;/record&gt;&lt;/Cite&gt;&lt;/EndNote&gt;</w:instrText>
      </w:r>
      <w:r>
        <w:fldChar w:fldCharType="separate"/>
      </w:r>
      <w:r w:rsidR="004B18ED">
        <w:rPr>
          <w:noProof/>
        </w:rPr>
        <w:t>[2]</w:t>
      </w:r>
      <w:r>
        <w:fldChar w:fldCharType="end"/>
      </w:r>
      <w:r>
        <w:t>, grown at 24°C for 7 days in the dark, then an additional 7 days in low light (under shade-cloth) before being moved to full light conditions (90 µmol m</w:t>
      </w:r>
      <w:r w:rsidRPr="1446CE94">
        <w:rPr>
          <w:vertAlign w:val="superscript"/>
        </w:rPr>
        <w:t>-2 </w:t>
      </w:r>
      <w:r>
        <w:t>s</w:t>
      </w:r>
      <w:r w:rsidRPr="1446CE94">
        <w:rPr>
          <w:vertAlign w:val="superscript"/>
        </w:rPr>
        <w:t>-1</w:t>
      </w:r>
      <w:r>
        <w:t xml:space="preserve">, 16 hr photoperiod). Germinated embryos were moved to a modified </w:t>
      </w:r>
      <w:proofErr w:type="spellStart"/>
      <w:r>
        <w:t>Quoirin</w:t>
      </w:r>
      <w:proofErr w:type="spellEnd"/>
      <w:r>
        <w:t xml:space="preserve"> and </w:t>
      </w:r>
      <w:proofErr w:type="spellStart"/>
      <w:r>
        <w:t>Lepoivre</w:t>
      </w:r>
      <w:proofErr w:type="spellEnd"/>
      <w:r>
        <w:t xml:space="preserve"> medium (LP) </w:t>
      </w:r>
      <w:r>
        <w:fldChar w:fldCharType="begin"/>
      </w:r>
      <w:r w:rsidR="00B1353D">
        <w:instrText xml:space="preserve"> ADDIN EN.CITE &lt;EndNote&gt;&lt;Cite&gt;&lt;Author&gt;Quoirin&lt;/Author&gt;&lt;Year&gt;1977&lt;/Year&gt;&lt;RecNum&gt;4172&lt;/RecNum&gt;&lt;DisplayText&gt;[8, 9]&lt;/DisplayText&gt;&lt;record&gt;&lt;rec-number&gt;4172&lt;/rec-number&gt;&lt;foreign-keys&gt;&lt;key app="EN" db-id="tt29xadvldvst1evzfhxt2905zrzvfzdrtf0" timestamp="1603761449" guid="97d9795d-784f-4779-a100-833af5755be2"&gt;4172&lt;/key&gt;&lt;/foreign-keys&gt;&lt;ref-type name="Journal Article"&gt;17&lt;/ref-type&gt;&lt;contributors&gt;&lt;authors&gt;&lt;author&gt;Quoirin, M&lt;/author&gt;&lt;author&gt;Lepoivre, Ph&lt;/author&gt;&lt;/authors&gt;&lt;/contributors&gt;&lt;titles&gt;&lt;title&gt;&lt;style face="normal" font="default" size="100%"&gt;Etude de milieux adaptes aux cultures &lt;/style&gt;&lt;style face="italic" font="default" size="100%"&gt;in vitro&lt;/style&gt;&lt;style face="normal" font="default" size="100%"&gt; de Prunus&lt;/style&gt;&lt;/title&gt;&lt;secondary-title&gt;Acta Horticulturae&lt;/secondary-title&gt;&lt;/titles&gt;&lt;periodical&gt;&lt;full-title&gt;Acta Horticulturae&lt;/full-title&gt;&lt;/periodical&gt;&lt;pages&gt;437-442&lt;/pages&gt;&lt;volume&gt;78&lt;/volume&gt;&lt;dates&gt;&lt;year&gt;1977&lt;/year&gt;&lt;/dates&gt;&lt;isbn&gt;0567-7572&lt;/isbn&gt;&lt;urls&gt;&lt;/urls&gt;&lt;/record&gt;&lt;/Cite&gt;&lt;Cite&gt;&lt;Author&gt;Aitken-Christie&lt;/Author&gt;&lt;Year&gt;1988&lt;/Year&gt;&lt;RecNum&gt;1505&lt;/RecNum&gt;&lt;record&gt;&lt;rec-number&gt;1505&lt;/rec-number&gt;&lt;foreign-keys&gt;&lt;key app="EN" db-id="tt29xadvldvst1evzfhxt2905zrzvfzdrtf0" timestamp="1538962731" guid="3cb2e396-3805-46f0-a042-32cdd5080d2d"&gt;1505&lt;/key&gt;&lt;/foreign-keys&gt;&lt;ref-type name="Book Section"&gt;5&lt;/ref-type&gt;&lt;contributors&gt;&lt;authors&gt;&lt;author&gt;Aitken-Christie, J.&lt;/author&gt;&lt;author&gt;Singh, A. P.&lt;/author&gt;&lt;author&gt;Davies, H&lt;/author&gt;&lt;/authors&gt;&lt;/contributors&gt;&lt;titles&gt;&lt;title&gt;Multiplication of meristematic tissue: A new tissue culture system for radiata pine&lt;/title&gt;&lt;secondary-title&gt;Genetic manipulation of woody plants&lt;/secondary-title&gt;&lt;/titles&gt;&lt;pages&gt;413-432&lt;/pages&gt;&lt;dates&gt;&lt;year&gt;1988&lt;/year&gt;&lt;/dates&gt;&lt;pub-location&gt;Boston, MA&lt;/pub-location&gt;&lt;publisher&gt;Springer&lt;/publisher&gt;&lt;urls&gt;&lt;/urls&gt;&lt;/record&gt;&lt;/Cite&gt;&lt;/EndNote&gt;</w:instrText>
      </w:r>
      <w:r>
        <w:fldChar w:fldCharType="separate"/>
      </w:r>
      <w:r w:rsidR="004B18ED">
        <w:rPr>
          <w:noProof/>
        </w:rPr>
        <w:t>[8, 9]</w:t>
      </w:r>
      <w:r>
        <w:fldChar w:fldCharType="end"/>
      </w:r>
      <w:r>
        <w:t xml:space="preserve"> containing 5 g activated charcoal (</w:t>
      </w:r>
      <w:proofErr w:type="spellStart"/>
      <w:r>
        <w:t>LPch</w:t>
      </w:r>
      <w:proofErr w:type="spellEnd"/>
      <w:r>
        <w:t>) for plantlet multiplication or elongation, as described by </w:t>
      </w:r>
      <w:r>
        <w:fldChar w:fldCharType="begin"/>
      </w:r>
      <w:r w:rsidR="004B18ED">
        <w:instrText xml:space="preserve"> ADDIN EN.CITE &lt;EndNote&gt;&lt;Cite AuthorYear="1"&gt;&lt;Author&gt;Hargreaves&lt;/Author&gt;&lt;Year&gt;2007&lt;/Year&gt;&lt;RecNum&gt;3936&lt;/RecNum&gt;&lt;DisplayText&gt;C Hargreaves and M Menzies [10]&lt;/DisplayText&gt;&lt;record&gt;&lt;rec-number&gt;3936&lt;/rec-number&gt;&lt;foreign-keys&gt;&lt;key app="EN" db-id="tt29xadvldvst1evzfhxt2905zrzvfzdrtf0" timestamp="1597876361" guid="690a6c76-4b83-413b-a1a4-d395a99ff80b"&gt;3936&lt;/key&gt;&lt;/foreign-keys&gt;&lt;ref-type name="Book Section"&gt;5&lt;/ref-type&gt;&lt;contributors&gt;&lt;authors&gt;&lt;author&gt;Hargreaves, C&lt;/author&gt;&lt;author&gt;Menzies, M&lt;/author&gt;&lt;/authors&gt;&lt;/contributors&gt;&lt;titles&gt;&lt;title&gt;Organogenesis and cryopreservation of juvenile radiata pine&lt;/title&gt;&lt;secondary-title&gt;Protocols for micropropagation of woody trees and fruits&lt;/secondary-title&gt;&lt;/titles&gt;&lt;pages&gt;51-65&lt;/pages&gt;&lt;dates&gt;&lt;year&gt;2007&lt;/year&gt;&lt;/dates&gt;&lt;publisher&gt;Springer&lt;/publisher&gt;&lt;urls&gt;&lt;/urls&gt;&lt;/record&gt;&lt;/Cite&gt;&lt;/EndNote&gt;</w:instrText>
      </w:r>
      <w:r>
        <w:fldChar w:fldCharType="separate"/>
      </w:r>
      <w:r w:rsidR="004B18ED">
        <w:rPr>
          <w:noProof/>
        </w:rPr>
        <w:t>C Hargreaves and M Menzies [10]</w:t>
      </w:r>
      <w:r>
        <w:fldChar w:fldCharType="end"/>
      </w:r>
      <w:r>
        <w:t>.</w:t>
      </w:r>
    </w:p>
    <w:p w14:paraId="7A0AE8F4" w14:textId="77777777" w:rsidR="00B1353D" w:rsidRPr="00B1353D" w:rsidRDefault="004B18ED" w:rsidP="00B1353D">
      <w:pPr>
        <w:pStyle w:val="EndNoteBibliographyTitle"/>
      </w:pPr>
      <w:r>
        <w:rPr>
          <w:rStyle w:val="Strong"/>
          <w:b w:val="0"/>
          <w:bCs w:val="0"/>
          <w:i/>
          <w:sz w:val="28"/>
        </w:rPr>
        <w:fldChar w:fldCharType="begin"/>
      </w:r>
      <w:r>
        <w:rPr>
          <w:rStyle w:val="Strong"/>
          <w:b w:val="0"/>
          <w:bCs w:val="0"/>
        </w:rPr>
        <w:instrText xml:space="preserve"> ADDIN EN.REFLIST </w:instrText>
      </w:r>
      <w:r>
        <w:rPr>
          <w:rStyle w:val="Strong"/>
          <w:b w:val="0"/>
          <w:bCs w:val="0"/>
          <w:i/>
          <w:sz w:val="28"/>
        </w:rPr>
        <w:fldChar w:fldCharType="separate"/>
      </w:r>
      <w:r w:rsidR="00B1353D" w:rsidRPr="00B1353D">
        <w:t>References</w:t>
      </w:r>
    </w:p>
    <w:p w14:paraId="4E193737" w14:textId="77777777" w:rsidR="00B1353D" w:rsidRPr="00B1353D" w:rsidRDefault="00B1353D" w:rsidP="00B1353D">
      <w:pPr>
        <w:pStyle w:val="EndNoteBibliographyTitle"/>
      </w:pPr>
    </w:p>
    <w:p w14:paraId="794A0432" w14:textId="77777777" w:rsidR="00B1353D" w:rsidRPr="00B1353D" w:rsidRDefault="00B1353D" w:rsidP="00B1353D">
      <w:pPr>
        <w:pStyle w:val="EndNoteBibliography"/>
        <w:spacing w:after="240"/>
        <w:ind w:left="720" w:hanging="720"/>
      </w:pPr>
      <w:r w:rsidRPr="00B1353D">
        <w:t>1.</w:t>
      </w:r>
      <w:r w:rsidRPr="00B1353D">
        <w:tab/>
        <w:t>Litvay JD, Verma DC, Johnson MA: Influence of a loblolly pine (</w:t>
      </w:r>
      <w:r w:rsidRPr="00B1353D">
        <w:rPr>
          <w:i/>
        </w:rPr>
        <w:t>Pinus taeda</w:t>
      </w:r>
      <w:r w:rsidRPr="00B1353D">
        <w:t xml:space="preserve"> L.). Culture medium and its components on growth and somatic embryogenesis of the wild carrot (</w:t>
      </w:r>
      <w:r w:rsidRPr="00B1353D">
        <w:rPr>
          <w:i/>
        </w:rPr>
        <w:t>Daucus carota</w:t>
      </w:r>
      <w:r w:rsidRPr="00B1353D">
        <w:t xml:space="preserve"> L.). </w:t>
      </w:r>
      <w:r w:rsidRPr="00B1353D">
        <w:rPr>
          <w:i/>
        </w:rPr>
        <w:t xml:space="preserve">Plant Cell Rep </w:t>
      </w:r>
      <w:r w:rsidRPr="00B1353D">
        <w:t>1985, 4(6):325-328.</w:t>
      </w:r>
    </w:p>
    <w:p w14:paraId="6D97BB31" w14:textId="77777777" w:rsidR="00B1353D" w:rsidRPr="00B1353D" w:rsidRDefault="00B1353D" w:rsidP="00B1353D">
      <w:pPr>
        <w:pStyle w:val="EndNoteBibliography"/>
        <w:spacing w:after="240"/>
        <w:ind w:left="720" w:hanging="720"/>
      </w:pPr>
      <w:r w:rsidRPr="00B1353D">
        <w:t>2.</w:t>
      </w:r>
      <w:r w:rsidRPr="00B1353D">
        <w:tab/>
        <w:t xml:space="preserve">Hargreaves C, Reeves C, Gough K, Montalbán IA, Low C, Van Ballekom S, Dungey HS, Moncaleán P: Nurse tissue for embryo rescue: testing new conifer somatic embryogenesis methods in a F1 hybrid pine. </w:t>
      </w:r>
      <w:r w:rsidRPr="00B1353D">
        <w:rPr>
          <w:i/>
        </w:rPr>
        <w:t xml:space="preserve">Trees </w:t>
      </w:r>
      <w:r w:rsidRPr="00B1353D">
        <w:t>2016, 31(1):273-283.</w:t>
      </w:r>
    </w:p>
    <w:p w14:paraId="4C533B20" w14:textId="77777777" w:rsidR="00B1353D" w:rsidRPr="00B1353D" w:rsidRDefault="00B1353D" w:rsidP="00B1353D">
      <w:pPr>
        <w:pStyle w:val="EndNoteBibliography"/>
        <w:spacing w:after="240"/>
        <w:ind w:left="720" w:hanging="720"/>
      </w:pPr>
      <w:r w:rsidRPr="00B1353D">
        <w:t>3.</w:t>
      </w:r>
      <w:r w:rsidRPr="00B1353D">
        <w:tab/>
        <w:t xml:space="preserve">Davies KM, Deroles SC, Boase MR, Hunter DA, Schwinn KE: Biolistics-based gene silencing in plants using a modified particle inflow gun. In: </w:t>
      </w:r>
      <w:r w:rsidRPr="00B1353D">
        <w:rPr>
          <w:i/>
        </w:rPr>
        <w:t>Biolistic DNA Delivery.</w:t>
      </w:r>
      <w:r w:rsidRPr="00B1353D">
        <w:t xml:space="preserve"> Springer; 2013: 63-74.</w:t>
      </w:r>
    </w:p>
    <w:p w14:paraId="425403C3" w14:textId="77777777" w:rsidR="00B1353D" w:rsidRPr="00B1353D" w:rsidRDefault="00B1353D" w:rsidP="00B1353D">
      <w:pPr>
        <w:pStyle w:val="EndNoteBibliography"/>
        <w:spacing w:after="240"/>
        <w:ind w:left="720" w:hanging="720"/>
      </w:pPr>
      <w:r w:rsidRPr="00B1353D">
        <w:t>4.</w:t>
      </w:r>
      <w:r w:rsidRPr="00B1353D">
        <w:tab/>
        <w:t>Grace LJ, Charity JA, Gresham B, Kay N, Walter C: Insect-resistant transgenic</w:t>
      </w:r>
      <w:r w:rsidRPr="00B1353D">
        <w:rPr>
          <w:i/>
        </w:rPr>
        <w:t xml:space="preserve"> Pinus radiata</w:t>
      </w:r>
      <w:r w:rsidRPr="00B1353D">
        <w:t xml:space="preserve">. </w:t>
      </w:r>
      <w:r w:rsidRPr="00B1353D">
        <w:rPr>
          <w:i/>
        </w:rPr>
        <w:t xml:space="preserve">Plant Cell Rep </w:t>
      </w:r>
      <w:r w:rsidRPr="00B1353D">
        <w:t>2005, 24(2):103-111.</w:t>
      </w:r>
    </w:p>
    <w:p w14:paraId="1170B10E" w14:textId="77777777" w:rsidR="00B1353D" w:rsidRPr="00B1353D" w:rsidRDefault="00B1353D" w:rsidP="00B1353D">
      <w:pPr>
        <w:pStyle w:val="EndNoteBibliography"/>
        <w:spacing w:after="240"/>
        <w:ind w:left="720" w:hanging="720"/>
      </w:pPr>
      <w:r w:rsidRPr="00B1353D">
        <w:t>5.</w:t>
      </w:r>
      <w:r w:rsidRPr="00B1353D">
        <w:tab/>
        <w:t>Smith DR: Growth medium. US Patent No 5,565,355 1996.</w:t>
      </w:r>
    </w:p>
    <w:p w14:paraId="170922EF" w14:textId="77777777" w:rsidR="00B1353D" w:rsidRPr="00B1353D" w:rsidRDefault="00B1353D" w:rsidP="00B1353D">
      <w:pPr>
        <w:pStyle w:val="EndNoteBibliography"/>
        <w:spacing w:after="240"/>
        <w:ind w:left="720" w:hanging="720"/>
      </w:pPr>
      <w:r w:rsidRPr="00B1353D">
        <w:t>6.</w:t>
      </w:r>
      <w:r w:rsidRPr="00B1353D">
        <w:tab/>
        <w:t>Krogstrup P: Embryo like structures from cotyledons and ripe embryos of Norway spruce (</w:t>
      </w:r>
      <w:r w:rsidRPr="00B1353D">
        <w:rPr>
          <w:i/>
        </w:rPr>
        <w:t>Picea abies</w:t>
      </w:r>
      <w:r w:rsidRPr="00B1353D">
        <w:t xml:space="preserve">). </w:t>
      </w:r>
      <w:r w:rsidRPr="00B1353D">
        <w:rPr>
          <w:i/>
        </w:rPr>
        <w:t xml:space="preserve">Can J For Res </w:t>
      </w:r>
      <w:r w:rsidRPr="00B1353D">
        <w:t>1986, 16(3):664-668.</w:t>
      </w:r>
    </w:p>
    <w:p w14:paraId="0BE397E6" w14:textId="77777777" w:rsidR="00B1353D" w:rsidRPr="00B1353D" w:rsidRDefault="00B1353D" w:rsidP="00B1353D">
      <w:pPr>
        <w:pStyle w:val="EndNoteBibliography"/>
        <w:spacing w:after="240"/>
        <w:ind w:left="720" w:hanging="720"/>
      </w:pPr>
      <w:r w:rsidRPr="00B1353D">
        <w:t>7.</w:t>
      </w:r>
      <w:r w:rsidRPr="00B1353D">
        <w:tab/>
        <w:t>Krogstrup P, Eriksen EN, Møller JD, Roulund H: Somatic embryogenesis in sitka spruce (</w:t>
      </w:r>
      <w:r w:rsidRPr="00B1353D">
        <w:rPr>
          <w:i/>
        </w:rPr>
        <w:t>Picea sitchensis</w:t>
      </w:r>
      <w:r w:rsidRPr="00B1353D">
        <w:t xml:space="preserve"> (Bong.) Carr.). </w:t>
      </w:r>
      <w:r w:rsidRPr="00B1353D">
        <w:rPr>
          <w:i/>
        </w:rPr>
        <w:t xml:space="preserve">Plant Cell Reports </w:t>
      </w:r>
      <w:r w:rsidRPr="00B1353D">
        <w:t>1988, 7(7):594-597.</w:t>
      </w:r>
    </w:p>
    <w:p w14:paraId="7F3B2409" w14:textId="77777777" w:rsidR="00B1353D" w:rsidRPr="00B1353D" w:rsidRDefault="00B1353D" w:rsidP="00B1353D">
      <w:pPr>
        <w:pStyle w:val="EndNoteBibliography"/>
        <w:spacing w:after="240"/>
        <w:ind w:left="720" w:hanging="720"/>
      </w:pPr>
      <w:r w:rsidRPr="00B1353D">
        <w:t>8.</w:t>
      </w:r>
      <w:r w:rsidRPr="00B1353D">
        <w:tab/>
        <w:t xml:space="preserve">Quoirin M, Lepoivre P: Etude de milieux adaptes aux cultures </w:t>
      </w:r>
      <w:r w:rsidRPr="00B1353D">
        <w:rPr>
          <w:i/>
        </w:rPr>
        <w:t>in vitro</w:t>
      </w:r>
      <w:r w:rsidRPr="00B1353D">
        <w:t xml:space="preserve"> de Prunus. </w:t>
      </w:r>
      <w:r w:rsidRPr="00B1353D">
        <w:rPr>
          <w:i/>
        </w:rPr>
        <w:t xml:space="preserve">Acta Horticulturae </w:t>
      </w:r>
      <w:r w:rsidRPr="00B1353D">
        <w:t>1977, 78:437-442.</w:t>
      </w:r>
    </w:p>
    <w:p w14:paraId="38F1A028" w14:textId="77777777" w:rsidR="00B1353D" w:rsidRPr="00B1353D" w:rsidRDefault="00B1353D" w:rsidP="00B1353D">
      <w:pPr>
        <w:pStyle w:val="EndNoteBibliography"/>
        <w:spacing w:after="240"/>
        <w:ind w:left="720" w:hanging="720"/>
      </w:pPr>
      <w:r w:rsidRPr="00B1353D">
        <w:t>9.</w:t>
      </w:r>
      <w:r w:rsidRPr="00B1353D">
        <w:tab/>
        <w:t xml:space="preserve">Aitken-Christie J, Singh AP, Davies H: Multiplication of meristematic tissue: A new tissue culture system for radiata pine. In: </w:t>
      </w:r>
      <w:r w:rsidRPr="00B1353D">
        <w:rPr>
          <w:i/>
        </w:rPr>
        <w:t>Genetic manipulation of woody plants.</w:t>
      </w:r>
      <w:r w:rsidRPr="00B1353D">
        <w:t xml:space="preserve"> Boston, MA: Springer; 1988: 413-432.</w:t>
      </w:r>
    </w:p>
    <w:p w14:paraId="442A75F6" w14:textId="77777777" w:rsidR="00B1353D" w:rsidRPr="00B1353D" w:rsidRDefault="00B1353D" w:rsidP="00B1353D">
      <w:pPr>
        <w:pStyle w:val="EndNoteBibliography"/>
        <w:ind w:left="720" w:hanging="720"/>
      </w:pPr>
      <w:r w:rsidRPr="00B1353D">
        <w:t>10.</w:t>
      </w:r>
      <w:r w:rsidRPr="00B1353D">
        <w:tab/>
        <w:t xml:space="preserve">Hargreaves C, Menzies M: Organogenesis and cryopreservation of juvenile radiata pine. In: </w:t>
      </w:r>
      <w:r w:rsidRPr="00B1353D">
        <w:rPr>
          <w:i/>
        </w:rPr>
        <w:t>Protocols for micropropagation of woody trees and fruits.</w:t>
      </w:r>
      <w:r w:rsidRPr="00B1353D">
        <w:t xml:space="preserve"> Springer; 2007: 51-65.</w:t>
      </w:r>
    </w:p>
    <w:p w14:paraId="15769580" w14:textId="357E2A53" w:rsidR="00DD47E4" w:rsidRPr="00C70354" w:rsidRDefault="004B18ED" w:rsidP="00D27F4F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fldChar w:fldCharType="end"/>
      </w:r>
    </w:p>
    <w:sectPr w:rsidR="00DD47E4" w:rsidRPr="00C70354" w:rsidSect="00436E4D">
      <w:footerReference w:type="default" r:id="rId11"/>
      <w:pgSz w:w="11906" w:h="16838" w:code="9"/>
      <w:pgMar w:top="1418" w:right="1134" w:bottom="1134" w:left="1418" w:header="567" w:footer="56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E536D7" w14:textId="77777777" w:rsidR="00774EC0" w:rsidRDefault="00774EC0">
      <w:r>
        <w:separator/>
      </w:r>
    </w:p>
  </w:endnote>
  <w:endnote w:type="continuationSeparator" w:id="0">
    <w:p w14:paraId="009C05C3" w14:textId="77777777" w:rsidR="00774EC0" w:rsidRDefault="00774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48B6C" w14:textId="77777777" w:rsidR="00436E4D" w:rsidRDefault="00436E4D" w:rsidP="00436E4D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C65DA9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09F538" w14:textId="77777777" w:rsidR="00774EC0" w:rsidRDefault="00774EC0">
      <w:r>
        <w:separator/>
      </w:r>
    </w:p>
  </w:footnote>
  <w:footnote w:type="continuationSeparator" w:id="0">
    <w:p w14:paraId="13FC50E0" w14:textId="77777777" w:rsidR="00774EC0" w:rsidRDefault="00774E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51CE4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0D9674AE"/>
    <w:lvl w:ilvl="0">
      <w:numFmt w:val="bullet"/>
      <w:lvlText w:val="*"/>
      <w:lvlJc w:val="left"/>
    </w:lvl>
  </w:abstractNum>
  <w:abstractNum w:abstractNumId="2" w15:restartNumberingAfterBreak="0">
    <w:nsid w:val="07087985"/>
    <w:multiLevelType w:val="hybridMultilevel"/>
    <w:tmpl w:val="9484307E"/>
    <w:lvl w:ilvl="0" w:tplc="0409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3"/>
        </w:tabs>
        <w:ind w:left="1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3" w15:restartNumberingAfterBreak="0">
    <w:nsid w:val="0ABF7E00"/>
    <w:multiLevelType w:val="multilevel"/>
    <w:tmpl w:val="BA3E9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C6BC0"/>
    <w:multiLevelType w:val="hybridMultilevel"/>
    <w:tmpl w:val="03F676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00CA4"/>
    <w:multiLevelType w:val="hybridMultilevel"/>
    <w:tmpl w:val="35E604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36D38"/>
    <w:multiLevelType w:val="hybridMultilevel"/>
    <w:tmpl w:val="984E7B84"/>
    <w:lvl w:ilvl="0" w:tplc="755CC86A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1ED50C53"/>
    <w:multiLevelType w:val="hybridMultilevel"/>
    <w:tmpl w:val="DE96A314"/>
    <w:lvl w:ilvl="0" w:tplc="4F6EA52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E54696"/>
    <w:multiLevelType w:val="hybridMultilevel"/>
    <w:tmpl w:val="60D42D7E"/>
    <w:lvl w:ilvl="0" w:tplc="BDB441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67C6962">
      <w:start w:val="164"/>
      <w:numFmt w:val="bullet"/>
      <w:lvlText w:val="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561870E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F495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7F843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9822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0E1F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4EC2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7896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B4B1399"/>
    <w:multiLevelType w:val="hybridMultilevel"/>
    <w:tmpl w:val="9484307E"/>
    <w:lvl w:ilvl="0" w:tplc="0409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3"/>
        </w:tabs>
        <w:ind w:left="1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10" w15:restartNumberingAfterBreak="0">
    <w:nsid w:val="2C4A4987"/>
    <w:multiLevelType w:val="hybridMultilevel"/>
    <w:tmpl w:val="22F692AC"/>
    <w:lvl w:ilvl="0" w:tplc="040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2F93548A"/>
    <w:multiLevelType w:val="hybridMultilevel"/>
    <w:tmpl w:val="09520454"/>
    <w:lvl w:ilvl="0" w:tplc="FC7819B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FF3836"/>
    <w:multiLevelType w:val="hybridMultilevel"/>
    <w:tmpl w:val="3EFCD7A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BB3BF5"/>
    <w:multiLevelType w:val="hybridMultilevel"/>
    <w:tmpl w:val="E8045DBC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FC68B9"/>
    <w:multiLevelType w:val="hybridMultilevel"/>
    <w:tmpl w:val="A454BE74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A13FE6"/>
    <w:multiLevelType w:val="hybridMultilevel"/>
    <w:tmpl w:val="28B2A09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084B19"/>
    <w:multiLevelType w:val="hybridMultilevel"/>
    <w:tmpl w:val="96CCB890"/>
    <w:lvl w:ilvl="0" w:tplc="0409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3"/>
        </w:tabs>
        <w:ind w:left="216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3"/>
        </w:tabs>
        <w:ind w:left="432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3"/>
        </w:tabs>
        <w:ind w:left="6483" w:hanging="180"/>
      </w:pPr>
    </w:lvl>
  </w:abstractNum>
  <w:abstractNum w:abstractNumId="17" w15:restartNumberingAfterBreak="0">
    <w:nsid w:val="414B207B"/>
    <w:multiLevelType w:val="multilevel"/>
    <w:tmpl w:val="D1568AE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B177E0"/>
    <w:multiLevelType w:val="hybridMultilevel"/>
    <w:tmpl w:val="277C1B82"/>
    <w:lvl w:ilvl="0" w:tplc="E2DE14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3F628E"/>
    <w:multiLevelType w:val="hybridMultilevel"/>
    <w:tmpl w:val="5762C41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75706F"/>
    <w:multiLevelType w:val="hybridMultilevel"/>
    <w:tmpl w:val="435699D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BF584E"/>
    <w:multiLevelType w:val="hybridMultilevel"/>
    <w:tmpl w:val="040A35F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24716F"/>
    <w:multiLevelType w:val="hybridMultilevel"/>
    <w:tmpl w:val="429A6270"/>
    <w:lvl w:ilvl="0" w:tplc="FC7819B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0047E6"/>
    <w:multiLevelType w:val="hybridMultilevel"/>
    <w:tmpl w:val="0C70A0C6"/>
    <w:lvl w:ilvl="0" w:tplc="FC7819B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0B52C4"/>
    <w:multiLevelType w:val="hybridMultilevel"/>
    <w:tmpl w:val="E954C33A"/>
    <w:lvl w:ilvl="0" w:tplc="040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1"/>
        </w:tabs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1"/>
        </w:tabs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1"/>
        </w:tabs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1"/>
        </w:tabs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1"/>
        </w:tabs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</w:rPr>
    </w:lvl>
  </w:abstractNum>
  <w:abstractNum w:abstractNumId="25" w15:restartNumberingAfterBreak="0">
    <w:nsid w:val="5D012842"/>
    <w:multiLevelType w:val="hybridMultilevel"/>
    <w:tmpl w:val="C34834A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DB3297"/>
    <w:multiLevelType w:val="multilevel"/>
    <w:tmpl w:val="277C1B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56058A"/>
    <w:multiLevelType w:val="hybridMultilevel"/>
    <w:tmpl w:val="9AB2060E"/>
    <w:lvl w:ilvl="0" w:tplc="040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F4061F"/>
    <w:multiLevelType w:val="hybridMultilevel"/>
    <w:tmpl w:val="E8045DB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600279"/>
    <w:multiLevelType w:val="hybridMultilevel"/>
    <w:tmpl w:val="17E87BCA"/>
    <w:lvl w:ilvl="0" w:tplc="040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672004C3"/>
    <w:multiLevelType w:val="hybridMultilevel"/>
    <w:tmpl w:val="9484307E"/>
    <w:lvl w:ilvl="0" w:tplc="04090005">
      <w:start w:val="1"/>
      <w:numFmt w:val="bullet"/>
      <w:lvlText w:val=""/>
      <w:lvlJc w:val="left"/>
      <w:pPr>
        <w:tabs>
          <w:tab w:val="num" w:pos="723"/>
        </w:tabs>
        <w:ind w:left="7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3"/>
        </w:tabs>
        <w:ind w:left="1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31" w15:restartNumberingAfterBreak="0">
    <w:nsid w:val="68B83060"/>
    <w:multiLevelType w:val="hybridMultilevel"/>
    <w:tmpl w:val="ADDEB8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0D5355"/>
    <w:multiLevelType w:val="hybridMultilevel"/>
    <w:tmpl w:val="58AC4B9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784BBF"/>
    <w:multiLevelType w:val="hybridMultilevel"/>
    <w:tmpl w:val="6B843992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4C2450"/>
    <w:multiLevelType w:val="hybridMultilevel"/>
    <w:tmpl w:val="786ADD4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9B5F00"/>
    <w:multiLevelType w:val="hybridMultilevel"/>
    <w:tmpl w:val="BA3E957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965269"/>
    <w:multiLevelType w:val="hybridMultilevel"/>
    <w:tmpl w:val="78501AD0"/>
    <w:lvl w:ilvl="0" w:tplc="207CB6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4CE59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946E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CA36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2A20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687C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B6B2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C844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82471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AA022E5"/>
    <w:multiLevelType w:val="hybridMultilevel"/>
    <w:tmpl w:val="F3CC7A7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C76FE5"/>
    <w:multiLevelType w:val="hybridMultilevel"/>
    <w:tmpl w:val="D1568A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E85FDD"/>
    <w:multiLevelType w:val="hybridMultilevel"/>
    <w:tmpl w:val="C2886960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EB5B15"/>
    <w:multiLevelType w:val="hybridMultilevel"/>
    <w:tmpl w:val="170CAF68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B320005"/>
    <w:multiLevelType w:val="hybridMultilevel"/>
    <w:tmpl w:val="F3CC7A72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A7047D"/>
    <w:multiLevelType w:val="hybridMultilevel"/>
    <w:tmpl w:val="ADDEB8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B0728E"/>
    <w:multiLevelType w:val="hybridMultilevel"/>
    <w:tmpl w:val="070A4986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2"/>
  </w:num>
  <w:num w:numId="3">
    <w:abstractNumId w:val="11"/>
  </w:num>
  <w:num w:numId="4">
    <w:abstractNumId w:val="15"/>
  </w:num>
  <w:num w:numId="5">
    <w:abstractNumId w:val="38"/>
  </w:num>
  <w:num w:numId="6">
    <w:abstractNumId w:val="17"/>
  </w:num>
  <w:num w:numId="7">
    <w:abstractNumId w:val="21"/>
  </w:num>
  <w:num w:numId="8">
    <w:abstractNumId w:val="40"/>
  </w:num>
  <w:num w:numId="9">
    <w:abstractNumId w:val="10"/>
  </w:num>
  <w:num w:numId="10">
    <w:abstractNumId w:val="34"/>
  </w:num>
  <w:num w:numId="11">
    <w:abstractNumId w:val="25"/>
  </w:num>
  <w:num w:numId="12">
    <w:abstractNumId w:val="30"/>
  </w:num>
  <w:num w:numId="13">
    <w:abstractNumId w:val="20"/>
  </w:num>
  <w:num w:numId="14">
    <w:abstractNumId w:val="32"/>
  </w:num>
  <w:num w:numId="15">
    <w:abstractNumId w:val="19"/>
  </w:num>
  <w:num w:numId="16">
    <w:abstractNumId w:val="4"/>
  </w:num>
  <w:num w:numId="17">
    <w:abstractNumId w:val="42"/>
  </w:num>
  <w:num w:numId="18">
    <w:abstractNumId w:val="31"/>
  </w:num>
  <w:num w:numId="19">
    <w:abstractNumId w:val="29"/>
  </w:num>
  <w:num w:numId="20">
    <w:abstractNumId w:val="36"/>
  </w:num>
  <w:num w:numId="21">
    <w:abstractNumId w:val="8"/>
  </w:num>
  <w:num w:numId="22">
    <w:abstractNumId w:val="27"/>
  </w:num>
  <w:num w:numId="23">
    <w:abstractNumId w:val="24"/>
  </w:num>
  <w:num w:numId="24">
    <w:abstractNumId w:val="9"/>
  </w:num>
  <w:num w:numId="25">
    <w:abstractNumId w:val="2"/>
  </w:num>
  <w:num w:numId="26">
    <w:abstractNumId w:val="16"/>
  </w:num>
  <w:num w:numId="27">
    <w:abstractNumId w:val="14"/>
  </w:num>
  <w:num w:numId="28">
    <w:abstractNumId w:val="39"/>
  </w:num>
  <w:num w:numId="29">
    <w:abstractNumId w:val="43"/>
  </w:num>
  <w:num w:numId="30">
    <w:abstractNumId w:val="6"/>
  </w:num>
  <w:num w:numId="31">
    <w:abstractNumId w:val="41"/>
  </w:num>
  <w:num w:numId="32">
    <w:abstractNumId w:val="37"/>
  </w:num>
  <w:num w:numId="33">
    <w:abstractNumId w:val="28"/>
  </w:num>
  <w:num w:numId="34">
    <w:abstractNumId w:val="13"/>
  </w:num>
  <w:num w:numId="35">
    <w:abstractNumId w:val="33"/>
  </w:num>
  <w:num w:numId="36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Courier" w:hAnsi="Courier" w:hint="default"/>
        </w:rPr>
      </w:lvl>
    </w:lvlOverride>
  </w:num>
  <w:num w:numId="37">
    <w:abstractNumId w:val="18"/>
  </w:num>
  <w:num w:numId="38">
    <w:abstractNumId w:val="26"/>
  </w:num>
  <w:num w:numId="39">
    <w:abstractNumId w:val="35"/>
  </w:num>
  <w:num w:numId="40">
    <w:abstractNumId w:val="12"/>
  </w:num>
  <w:num w:numId="41">
    <w:abstractNumId w:val="3"/>
  </w:num>
  <w:num w:numId="42">
    <w:abstractNumId w:val="7"/>
  </w:num>
  <w:num w:numId="43">
    <w:abstractNumId w:val="5"/>
  </w:num>
  <w:num w:numId="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lant Biology Copy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29xadvldvst1evzfhxt2905zrzvfzdrtf0&quot;&gt;Charleson P EndNote Library-Converted&lt;record-ids&gt;&lt;item&gt;629&lt;/item&gt;&lt;item&gt;1505&lt;/item&gt;&lt;item&gt;2001&lt;/item&gt;&lt;item&gt;3875&lt;/item&gt;&lt;item&gt;3936&lt;/item&gt;&lt;item&gt;4063&lt;/item&gt;&lt;item&gt;4153&lt;/item&gt;&lt;item&gt;4156&lt;/item&gt;&lt;item&gt;4172&lt;/item&gt;&lt;item&gt;4179&lt;/item&gt;&lt;/record-ids&gt;&lt;/item&gt;&lt;/Libraries&gt;"/>
  </w:docVars>
  <w:rsids>
    <w:rsidRoot w:val="00774EC0"/>
    <w:rsid w:val="00141AAE"/>
    <w:rsid w:val="001679AE"/>
    <w:rsid w:val="001761A2"/>
    <w:rsid w:val="004258F6"/>
    <w:rsid w:val="00433F48"/>
    <w:rsid w:val="00436E4D"/>
    <w:rsid w:val="004B18ED"/>
    <w:rsid w:val="00774EC0"/>
    <w:rsid w:val="007A63C4"/>
    <w:rsid w:val="008C311E"/>
    <w:rsid w:val="008D3B0E"/>
    <w:rsid w:val="00966BD3"/>
    <w:rsid w:val="009B4B81"/>
    <w:rsid w:val="00A07C20"/>
    <w:rsid w:val="00B1353D"/>
    <w:rsid w:val="00BA6379"/>
    <w:rsid w:val="00C65DA9"/>
    <w:rsid w:val="00C70354"/>
    <w:rsid w:val="00CA76DE"/>
    <w:rsid w:val="00CC67D2"/>
    <w:rsid w:val="00D27F4F"/>
    <w:rsid w:val="00DD47E4"/>
    <w:rsid w:val="00DD6D3C"/>
    <w:rsid w:val="00F87B69"/>
    <w:rsid w:val="00FA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721590F"/>
  <w15:chartTrackingRefBased/>
  <w15:docId w15:val="{CC425A2C-2871-42E2-B2F9-08D10E8F5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/>
    <w:lsdException w:name="heading 8" w:semiHidden="1" w:unhideWhenUsed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4EC0"/>
    <w:pPr>
      <w:spacing w:line="480" w:lineRule="auto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spacing w:line="240" w:lineRule="auto"/>
      <w:outlineLvl w:val="0"/>
    </w:pPr>
    <w:rPr>
      <w:rFonts w:ascii="Arial" w:hAnsi="Arial"/>
      <w:b/>
      <w:caps/>
      <w:sz w:val="20"/>
    </w:rPr>
  </w:style>
  <w:style w:type="paragraph" w:styleId="Heading2">
    <w:name w:val="heading 2"/>
    <w:basedOn w:val="Normal"/>
    <w:next w:val="Normal"/>
    <w:link w:val="Heading2Char1"/>
    <w:qFormat/>
    <w:rsid w:val="004B18ED"/>
    <w:pPr>
      <w:keepNext/>
      <w:spacing w:before="240" w:after="240" w:line="240" w:lineRule="auto"/>
      <w:outlineLvl w:val="1"/>
    </w:pPr>
    <w:rPr>
      <w:i/>
      <w:sz w:val="28"/>
    </w:rPr>
  </w:style>
  <w:style w:type="paragraph" w:styleId="Heading3">
    <w:name w:val="heading 3"/>
    <w:basedOn w:val="Normal"/>
    <w:next w:val="Normal"/>
    <w:qFormat/>
    <w:rsid w:val="004B18ED"/>
    <w:pPr>
      <w:keepNext/>
      <w:spacing w:before="240" w:after="240" w:line="240" w:lineRule="auto"/>
      <w:outlineLvl w:val="2"/>
    </w:pPr>
    <w:rPr>
      <w:b/>
    </w:rPr>
  </w:style>
  <w:style w:type="paragraph" w:styleId="Heading4">
    <w:name w:val="heading 4"/>
    <w:basedOn w:val="Normal"/>
    <w:next w:val="Normal"/>
    <w:pPr>
      <w:keepNext/>
      <w:spacing w:line="240" w:lineRule="auto"/>
      <w:outlineLvl w:val="3"/>
    </w:pPr>
    <w:rPr>
      <w:rFonts w:ascii="Arial" w:hAnsi="Arial"/>
      <w:i/>
      <w:sz w:val="20"/>
    </w:rPr>
  </w:style>
  <w:style w:type="paragraph" w:styleId="Heading5">
    <w:name w:val="heading 5"/>
    <w:basedOn w:val="Normal"/>
    <w:next w:val="Normal"/>
    <w:pPr>
      <w:keepNext/>
      <w:spacing w:line="240" w:lineRule="auto"/>
      <w:outlineLvl w:val="4"/>
    </w:pPr>
    <w:rPr>
      <w:rFonts w:ascii="Arial" w:hAnsi="Arial"/>
      <w:sz w:val="20"/>
    </w:rPr>
  </w:style>
  <w:style w:type="paragraph" w:styleId="Heading6">
    <w:name w:val="heading 6"/>
    <w:basedOn w:val="Normal"/>
    <w:next w:val="Normal"/>
    <w:pPr>
      <w:keepNext/>
      <w:framePr w:w="5841" w:h="3402" w:hRule="exact" w:wrap="around" w:vAnchor="page" w:hAnchor="page" w:x="5201" w:y="9725"/>
      <w:autoSpaceDE w:val="0"/>
      <w:autoSpaceDN w:val="0"/>
      <w:adjustRightInd w:val="0"/>
      <w:spacing w:line="560" w:lineRule="exact"/>
      <w:ind w:right="-114"/>
      <w:outlineLvl w:val="5"/>
    </w:pPr>
    <w:rPr>
      <w:rFonts w:ascii="Arial" w:hAnsi="Arial" w:cs="Arial"/>
      <w:b/>
      <w:bCs/>
      <w:color w:val="FF9147"/>
      <w:sz w:val="56"/>
      <w:szCs w:val="56"/>
      <w:lang w:val="en-US"/>
    </w:rPr>
  </w:style>
  <w:style w:type="paragraph" w:styleId="Heading7">
    <w:name w:val="heading 7"/>
    <w:basedOn w:val="Normal"/>
    <w:next w:val="Normal"/>
    <w:pPr>
      <w:keepNext/>
      <w:spacing w:line="240" w:lineRule="auto"/>
      <w:ind w:left="709"/>
      <w:outlineLvl w:val="6"/>
    </w:pPr>
    <w:rPr>
      <w:rFonts w:ascii="Arial" w:hAnsi="Arial" w:cs="Arial"/>
      <w:i/>
      <w:iCs/>
      <w:sz w:val="20"/>
    </w:rPr>
  </w:style>
  <w:style w:type="paragraph" w:styleId="Heading8">
    <w:name w:val="heading 8"/>
    <w:basedOn w:val="Normal"/>
    <w:next w:val="Normal"/>
    <w:pPr>
      <w:keepNext/>
      <w:spacing w:line="240" w:lineRule="auto"/>
      <w:outlineLvl w:val="7"/>
    </w:pPr>
    <w:rPr>
      <w:rFonts w:ascii="Arial" w:hAnsi="Arial" w:cs="Arial"/>
      <w:sz w:val="32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Pr>
      <w:i/>
      <w:sz w:val="16"/>
    </w:rPr>
  </w:style>
  <w:style w:type="paragraph" w:styleId="Header">
    <w:name w:val="header"/>
    <w:basedOn w:val="Normal"/>
    <w:pPr>
      <w:tabs>
        <w:tab w:val="right" w:pos="9356"/>
      </w:tabs>
      <w:spacing w:line="240" w:lineRule="auto"/>
    </w:pPr>
    <w:rPr>
      <w:rFonts w:ascii="Arial" w:hAnsi="Arial"/>
      <w:b/>
      <w:i/>
      <w:sz w:val="16"/>
    </w:rPr>
  </w:style>
  <w:style w:type="paragraph" w:styleId="Footer">
    <w:name w:val="footer"/>
    <w:basedOn w:val="Normal"/>
    <w:pPr>
      <w:tabs>
        <w:tab w:val="right" w:pos="9356"/>
      </w:tabs>
      <w:spacing w:line="240" w:lineRule="auto"/>
    </w:pPr>
    <w:rPr>
      <w:rFonts w:ascii="Arial" w:hAnsi="Arial"/>
      <w:i/>
      <w:sz w:val="16"/>
    </w:rPr>
  </w:style>
  <w:style w:type="paragraph" w:styleId="BodyText">
    <w:name w:val="Body Text"/>
    <w:basedOn w:val="Normal"/>
    <w:link w:val="BodyTextChar"/>
    <w:pPr>
      <w:spacing w:line="240" w:lineRule="auto"/>
    </w:pPr>
    <w:rPr>
      <w:rFonts w:ascii="Arial" w:hAnsi="Arial"/>
      <w:sz w:val="20"/>
    </w:rPr>
  </w:style>
  <w:style w:type="paragraph" w:styleId="Title">
    <w:name w:val="Title"/>
    <w:basedOn w:val="Normal"/>
    <w:pPr>
      <w:spacing w:line="240" w:lineRule="auto"/>
    </w:pPr>
    <w:rPr>
      <w:rFonts w:ascii="Arial Rounded MT Bold" w:hAnsi="Arial Rounded MT Bold"/>
      <w:b/>
      <w:sz w:val="52"/>
    </w:rPr>
  </w:style>
  <w:style w:type="paragraph" w:styleId="Subtitle">
    <w:name w:val="Subtitle"/>
    <w:basedOn w:val="Normal"/>
    <w:pPr>
      <w:spacing w:line="240" w:lineRule="auto"/>
    </w:pPr>
    <w:rPr>
      <w:rFonts w:ascii="Arial" w:hAnsi="Arial"/>
      <w:i/>
      <w:sz w:val="20"/>
    </w:rPr>
  </w:style>
  <w:style w:type="paragraph" w:styleId="Caption">
    <w:name w:val="caption"/>
    <w:basedOn w:val="Normal"/>
    <w:next w:val="Normal"/>
    <w:pPr>
      <w:framePr w:w="5841" w:h="3402" w:hRule="exact" w:wrap="around" w:vAnchor="page" w:hAnchor="page" w:x="5201" w:y="9725"/>
      <w:spacing w:after="40" w:line="240" w:lineRule="auto"/>
    </w:pPr>
    <w:rPr>
      <w:rFonts w:ascii="Arial" w:hAnsi="Arial" w:cs="Arial"/>
      <w:color w:val="FF9147"/>
      <w:sz w:val="32"/>
      <w:szCs w:val="32"/>
      <w:lang w:val="en-US"/>
    </w:rPr>
  </w:style>
  <w:style w:type="paragraph" w:customStyle="1" w:styleId="Tablecaption">
    <w:name w:val="Table caption"/>
    <w:basedOn w:val="Normal"/>
    <w:pPr>
      <w:spacing w:line="240" w:lineRule="auto"/>
      <w:jc w:val="center"/>
    </w:pPr>
    <w:rPr>
      <w:rFonts w:ascii="Arial" w:hAnsi="Arial"/>
      <w:b/>
      <w:sz w:val="20"/>
    </w:rPr>
  </w:style>
  <w:style w:type="paragraph" w:customStyle="1" w:styleId="Figurecaption">
    <w:name w:val="Figure caption"/>
    <w:basedOn w:val="Normal"/>
    <w:pPr>
      <w:spacing w:line="240" w:lineRule="auto"/>
      <w:jc w:val="center"/>
    </w:pPr>
    <w:rPr>
      <w:rFonts w:ascii="Arial" w:hAnsi="Arial"/>
      <w:b/>
      <w:sz w:val="20"/>
    </w:rPr>
  </w:style>
  <w:style w:type="paragraph" w:styleId="ListBullet">
    <w:name w:val="List Bullet"/>
    <w:basedOn w:val="Normal"/>
    <w:pPr>
      <w:spacing w:line="240" w:lineRule="auto"/>
      <w:ind w:left="567" w:hanging="567"/>
    </w:pPr>
    <w:rPr>
      <w:rFonts w:ascii="Arial" w:hAnsi="Arial"/>
      <w:sz w:val="20"/>
    </w:rPr>
  </w:style>
  <w:style w:type="paragraph" w:styleId="List2">
    <w:name w:val="List 2"/>
    <w:basedOn w:val="Normal"/>
    <w:pPr>
      <w:spacing w:line="240" w:lineRule="auto"/>
      <w:ind w:left="851" w:hanging="284"/>
    </w:pPr>
    <w:rPr>
      <w:rFonts w:ascii="Arial" w:hAnsi="Arial"/>
      <w:sz w:val="20"/>
    </w:rPr>
  </w:style>
  <w:style w:type="paragraph" w:styleId="List">
    <w:name w:val="List"/>
    <w:basedOn w:val="Normal"/>
    <w:pPr>
      <w:spacing w:line="240" w:lineRule="auto"/>
      <w:ind w:left="567" w:hanging="567"/>
    </w:pPr>
    <w:rPr>
      <w:rFonts w:ascii="Arial" w:hAnsi="Arial"/>
      <w:sz w:val="20"/>
    </w:rPr>
  </w:style>
  <w:style w:type="paragraph" w:styleId="ListBullet2">
    <w:name w:val="List Bullet 2"/>
    <w:basedOn w:val="Normal"/>
    <w:pPr>
      <w:spacing w:line="240" w:lineRule="auto"/>
      <w:ind w:left="851" w:hanging="284"/>
    </w:pPr>
    <w:rPr>
      <w:rFonts w:ascii="Arial" w:hAnsi="Arial"/>
      <w:sz w:val="20"/>
    </w:rPr>
  </w:style>
  <w:style w:type="paragraph" w:styleId="ListNumber">
    <w:name w:val="List Number"/>
    <w:basedOn w:val="Normal"/>
    <w:pPr>
      <w:spacing w:line="240" w:lineRule="auto"/>
      <w:ind w:left="567" w:hanging="567"/>
    </w:pPr>
    <w:rPr>
      <w:rFonts w:ascii="Arial" w:hAnsi="Arial"/>
      <w:sz w:val="20"/>
    </w:rPr>
  </w:style>
  <w:style w:type="paragraph" w:styleId="ListNumber2">
    <w:name w:val="List Number 2"/>
    <w:basedOn w:val="Normal"/>
    <w:pPr>
      <w:spacing w:line="240" w:lineRule="auto"/>
      <w:ind w:left="851" w:hanging="284"/>
    </w:pPr>
    <w:rPr>
      <w:rFonts w:ascii="Arial" w:hAnsi="Arial"/>
      <w:sz w:val="20"/>
    </w:rPr>
  </w:style>
  <w:style w:type="paragraph" w:styleId="ListNumber3">
    <w:name w:val="List Number 3"/>
    <w:basedOn w:val="Normal"/>
    <w:pPr>
      <w:spacing w:line="240" w:lineRule="auto"/>
      <w:ind w:left="1135" w:hanging="284"/>
    </w:pPr>
    <w:rPr>
      <w:rFonts w:ascii="Arial" w:hAnsi="Arial"/>
      <w:sz w:val="20"/>
    </w:rPr>
  </w:style>
  <w:style w:type="paragraph" w:styleId="ListNumber4">
    <w:name w:val="List Number 4"/>
    <w:basedOn w:val="Normal"/>
    <w:pPr>
      <w:spacing w:line="240" w:lineRule="auto"/>
      <w:ind w:left="1418" w:hanging="284"/>
    </w:pPr>
    <w:rPr>
      <w:rFonts w:ascii="Arial" w:hAnsi="Arial"/>
      <w:sz w:val="20"/>
    </w:rPr>
  </w:style>
  <w:style w:type="paragraph" w:styleId="ListNumber5">
    <w:name w:val="List Number 5"/>
    <w:basedOn w:val="Normal"/>
    <w:pPr>
      <w:spacing w:line="240" w:lineRule="auto"/>
      <w:ind w:left="1702" w:hanging="284"/>
    </w:pPr>
    <w:rPr>
      <w:rFonts w:ascii="Arial" w:hAnsi="Arial"/>
      <w:sz w:val="20"/>
    </w:rPr>
  </w:style>
  <w:style w:type="paragraph" w:styleId="Signature">
    <w:name w:val="Signature"/>
    <w:basedOn w:val="Normal"/>
    <w:pPr>
      <w:spacing w:line="240" w:lineRule="auto"/>
      <w:ind w:left="4252"/>
    </w:pPr>
    <w:rPr>
      <w:rFonts w:ascii="Arial" w:hAnsi="Arial"/>
      <w:sz w:val="20"/>
    </w:rPr>
  </w:style>
  <w:style w:type="paragraph" w:styleId="BodyTextIndent">
    <w:name w:val="Body Text Indent"/>
    <w:basedOn w:val="Normal"/>
    <w:pPr>
      <w:spacing w:line="240" w:lineRule="auto"/>
      <w:ind w:left="720"/>
    </w:pPr>
    <w:rPr>
      <w:rFonts w:ascii="Arial" w:hAnsi="Arial" w:cs="Arial"/>
      <w:sz w:val="20"/>
    </w:rPr>
  </w:style>
  <w:style w:type="paragraph" w:styleId="BodyTextIndent2">
    <w:name w:val="Body Text Indent 2"/>
    <w:basedOn w:val="Normal"/>
    <w:pPr>
      <w:spacing w:line="240" w:lineRule="auto"/>
      <w:ind w:left="443"/>
    </w:pPr>
    <w:rPr>
      <w:rFonts w:ascii="Arial" w:hAnsi="Arial" w:cs="Arial"/>
      <w:sz w:val="20"/>
    </w:rPr>
  </w:style>
  <w:style w:type="paragraph" w:styleId="BodyText2">
    <w:name w:val="Body Text 2"/>
    <w:basedOn w:val="Normal"/>
    <w:pPr>
      <w:spacing w:line="240" w:lineRule="auto"/>
    </w:pPr>
    <w:rPr>
      <w:rFonts w:ascii="Arial" w:hAnsi="Arial" w:cs="Arial"/>
      <w:sz w:val="20"/>
    </w:rPr>
  </w:style>
  <w:style w:type="paragraph" w:styleId="BodyTextIndent3">
    <w:name w:val="Body Text Indent 3"/>
    <w:basedOn w:val="Normal"/>
    <w:pPr>
      <w:spacing w:line="240" w:lineRule="auto"/>
      <w:ind w:left="720"/>
    </w:pPr>
    <w:rPr>
      <w:rFonts w:ascii="Arial" w:hAnsi="Arial" w:cs="Arial"/>
      <w:sz w:val="20"/>
    </w:rPr>
  </w:style>
  <w:style w:type="paragraph" w:styleId="BodyText3">
    <w:name w:val="Body Text 3"/>
    <w:basedOn w:val="Normal"/>
    <w:pPr>
      <w:spacing w:line="240" w:lineRule="auto"/>
    </w:pPr>
    <w:rPr>
      <w:rFonts w:ascii="Arial" w:hAnsi="Arial" w:cs="Arial"/>
      <w:sz w:val="20"/>
    </w:rPr>
  </w:style>
  <w:style w:type="paragraph" w:customStyle="1" w:styleId="ReportTitle1">
    <w:name w:val="Report Title 1"/>
    <w:pPr>
      <w:jc w:val="right"/>
    </w:pPr>
    <w:rPr>
      <w:rFonts w:ascii="Arial" w:hAnsi="Arial"/>
      <w:color w:val="333333"/>
      <w:sz w:val="48"/>
      <w:szCs w:val="24"/>
      <w:lang w:val="en-AU" w:eastAsia="en-US"/>
    </w:rPr>
  </w:style>
  <w:style w:type="paragraph" w:customStyle="1" w:styleId="ReportTitle2">
    <w:name w:val="Report Title 2"/>
    <w:pPr>
      <w:spacing w:before="240"/>
      <w:jc w:val="right"/>
    </w:pPr>
    <w:rPr>
      <w:rFonts w:ascii="Arial" w:hAnsi="Arial"/>
      <w:color w:val="333333"/>
      <w:sz w:val="28"/>
      <w:szCs w:val="24"/>
      <w:lang w:val="en-AU" w:eastAsia="en-US"/>
    </w:rPr>
  </w:style>
  <w:style w:type="paragraph" w:styleId="FootnoteText">
    <w:name w:val="footnote text"/>
    <w:basedOn w:val="Normal"/>
    <w:semiHidden/>
    <w:pPr>
      <w:spacing w:line="240" w:lineRule="auto"/>
    </w:pPr>
    <w:rPr>
      <w:rFonts w:ascii="Arial" w:hAnsi="Arial"/>
      <w:sz w:val="20"/>
      <w:szCs w:val="20"/>
      <w:lang w:eastAsia="en-NZ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character" w:customStyle="1" w:styleId="Heading2Char">
    <w:name w:val="Heading 2 Char"/>
    <w:basedOn w:val="DefaultParagraphFont"/>
    <w:rPr>
      <w:rFonts w:ascii="Arial" w:hAnsi="Arial" w:cs="Arial"/>
      <w:b/>
      <w:bCs/>
      <w:i/>
      <w:iCs/>
      <w:sz w:val="28"/>
      <w:szCs w:val="28"/>
      <w:lang w:val="en-NZ" w:eastAsia="en-NZ" w:bidi="ar-SA"/>
    </w:rPr>
  </w:style>
  <w:style w:type="character" w:customStyle="1" w:styleId="Heading3Char">
    <w:name w:val="Heading 3 Char"/>
    <w:basedOn w:val="DefaultParagraphFont"/>
    <w:rPr>
      <w:rFonts w:ascii="Arial" w:hAnsi="Arial" w:cs="Arial"/>
      <w:b/>
      <w:bCs/>
      <w:sz w:val="26"/>
      <w:szCs w:val="26"/>
      <w:lang w:val="en-NZ" w:eastAsia="en-NZ" w:bidi="ar-SA"/>
    </w:rPr>
  </w:style>
  <w:style w:type="paragraph" w:styleId="TOC1">
    <w:name w:val="toc 1"/>
    <w:basedOn w:val="Normal"/>
    <w:next w:val="Normal"/>
    <w:autoRedefine/>
    <w:semiHidden/>
    <w:pPr>
      <w:spacing w:line="240" w:lineRule="auto"/>
    </w:pPr>
    <w:rPr>
      <w:rFonts w:ascii="Arial" w:hAnsi="Arial"/>
      <w:b/>
      <w:sz w:val="20"/>
      <w:lang w:eastAsia="en-NZ"/>
    </w:rPr>
  </w:style>
  <w:style w:type="paragraph" w:styleId="TOC2">
    <w:name w:val="toc 2"/>
    <w:basedOn w:val="Normal"/>
    <w:next w:val="Normal"/>
    <w:autoRedefine/>
    <w:semiHidden/>
    <w:pPr>
      <w:spacing w:line="240" w:lineRule="auto"/>
      <w:ind w:left="240"/>
    </w:pPr>
    <w:rPr>
      <w:rFonts w:ascii="Arial" w:hAnsi="Arial"/>
      <w:sz w:val="20"/>
      <w:lang w:eastAsia="en-NZ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StyleHeading1Arial16pt">
    <w:name w:val="Style Heading 1 + Arial 16 pt"/>
    <w:basedOn w:val="Heading1"/>
    <w:link w:val="StyleHeading1Arial16ptChar"/>
    <w:rPr>
      <w:bCs/>
      <w:caps w:val="0"/>
      <w:sz w:val="32"/>
    </w:rPr>
  </w:style>
  <w:style w:type="paragraph" w:customStyle="1" w:styleId="StyleHeading2Arial">
    <w:name w:val="Style Heading 2 + Arial"/>
    <w:basedOn w:val="Heading2"/>
    <w:rPr>
      <w:bCs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Columndescription">
    <w:name w:val="Column description"/>
    <w:basedOn w:val="Heading5"/>
    <w:rPr>
      <w:b/>
      <w:bCs/>
      <w:i/>
      <w:iCs/>
      <w:smallCaps/>
      <w:szCs w:val="20"/>
      <w:lang w:val="en-GB"/>
    </w:rPr>
  </w:style>
  <w:style w:type="paragraph" w:customStyle="1" w:styleId="Mainheading">
    <w:name w:val="Main heading"/>
    <w:basedOn w:val="Normal"/>
    <w:pPr>
      <w:spacing w:line="240" w:lineRule="auto"/>
      <w:jc w:val="center"/>
    </w:pPr>
    <w:rPr>
      <w:rFonts w:ascii="Arial" w:hAnsi="Arial"/>
      <w:b/>
      <w:bCs/>
      <w:sz w:val="32"/>
      <w:szCs w:val="20"/>
      <w:lang w:val="en-GB"/>
    </w:rPr>
  </w:style>
  <w:style w:type="paragraph" w:customStyle="1" w:styleId="Style1">
    <w:name w:val="Style1"/>
    <w:basedOn w:val="Heading3"/>
    <w:rPr>
      <w:rFonts w:ascii="Arial Narrow" w:hAnsi="Arial Narrow"/>
      <w:b w:val="0"/>
      <w:sz w:val="28"/>
    </w:rPr>
  </w:style>
  <w:style w:type="character" w:customStyle="1" w:styleId="BodyTextChar">
    <w:name w:val="Body Text Char"/>
    <w:basedOn w:val="DefaultParagraphFont"/>
    <w:link w:val="BodyText"/>
    <w:rPr>
      <w:sz w:val="24"/>
      <w:szCs w:val="24"/>
      <w:lang w:val="en-AU" w:eastAsia="en-US" w:bidi="ar-SA"/>
    </w:rPr>
  </w:style>
  <w:style w:type="paragraph" w:customStyle="1" w:styleId="H2SCIONArialNarrow14ptBold">
    <w:name w:val="H2 SCION (Arial Narrow 14pt Bold)"/>
    <w:basedOn w:val="Heading2"/>
    <w:next w:val="Normal"/>
    <w:link w:val="H2SCIONArialNarrow14ptBoldChar"/>
    <w:rPr>
      <w:rFonts w:ascii="Arial Narrow" w:hAnsi="Arial Narrow"/>
    </w:rPr>
  </w:style>
  <w:style w:type="character" w:customStyle="1" w:styleId="Heading2Char1">
    <w:name w:val="Heading 2 Char1"/>
    <w:basedOn w:val="DefaultParagraphFont"/>
    <w:link w:val="Heading2"/>
    <w:rsid w:val="004B18ED"/>
    <w:rPr>
      <w:i/>
      <w:sz w:val="28"/>
      <w:szCs w:val="24"/>
      <w:lang w:eastAsia="en-US"/>
    </w:rPr>
  </w:style>
  <w:style w:type="character" w:customStyle="1" w:styleId="H2SCIONArialNarrow14ptBoldChar">
    <w:name w:val="H2 SCION (Arial Narrow 14pt Bold) Char"/>
    <w:basedOn w:val="Heading2Char1"/>
    <w:link w:val="H2SCIONArialNarrow14ptBold"/>
    <w:rPr>
      <w:rFonts w:ascii="Arial Narrow" w:hAnsi="Arial Narrow"/>
      <w:b w:val="0"/>
      <w:i/>
      <w:sz w:val="28"/>
      <w:szCs w:val="24"/>
      <w:lang w:val="en-AU" w:eastAsia="en-US" w:bidi="ar-SA"/>
    </w:rPr>
  </w:style>
  <w:style w:type="paragraph" w:customStyle="1" w:styleId="H1SCIONArial16ptArialNarrowBottomThin-t">
    <w:name w:val="H1 SCION + Arial 16 pt + Arial Narrow Bottom: (Thin-t..."/>
    <w:basedOn w:val="StyleHeading1Arial16pt"/>
    <w:next w:val="Normal"/>
    <w:link w:val="H1SCIONArial16ptArialNarrowBottomThin-tChar"/>
    <w:rsid w:val="00436E4D"/>
    <w:pPr>
      <w:spacing w:after="240"/>
    </w:pPr>
    <w:rPr>
      <w:rFonts w:ascii="Arial Narrow" w:hAnsi="Arial Narrow"/>
      <w:szCs w:val="20"/>
    </w:rPr>
  </w:style>
  <w:style w:type="character" w:customStyle="1" w:styleId="Heading1Char">
    <w:name w:val="Heading 1 Char"/>
    <w:basedOn w:val="DefaultParagraphFont"/>
    <w:link w:val="Heading1"/>
    <w:rPr>
      <w:b/>
      <w:caps/>
      <w:sz w:val="24"/>
      <w:szCs w:val="24"/>
      <w:lang w:val="en-AU" w:eastAsia="en-US" w:bidi="ar-SA"/>
    </w:rPr>
  </w:style>
  <w:style w:type="character" w:customStyle="1" w:styleId="StyleHeading1Arial16ptChar">
    <w:name w:val="Style Heading 1 + Arial 16 pt Char"/>
    <w:basedOn w:val="Heading1Char"/>
    <w:link w:val="StyleHeading1Arial16pt"/>
    <w:rPr>
      <w:rFonts w:ascii="Arial" w:hAnsi="Arial"/>
      <w:b/>
      <w:bCs/>
      <w:caps/>
      <w:sz w:val="32"/>
      <w:szCs w:val="24"/>
      <w:lang w:val="en-AU" w:eastAsia="en-US" w:bidi="ar-SA"/>
    </w:rPr>
  </w:style>
  <w:style w:type="character" w:customStyle="1" w:styleId="H1SCIONArial16ptArialNarrowBottomThin-tChar">
    <w:name w:val="H1 SCION + Arial 16 pt + Arial Narrow Bottom: (Thin-t... Char"/>
    <w:basedOn w:val="StyleHeading1Arial16ptChar"/>
    <w:link w:val="H1SCIONArial16ptArialNarrowBottomThin-t"/>
    <w:rsid w:val="00436E4D"/>
    <w:rPr>
      <w:rFonts w:ascii="Arial Narrow" w:hAnsi="Arial Narrow"/>
      <w:b/>
      <w:bCs/>
      <w:caps w:val="0"/>
      <w:sz w:val="32"/>
      <w:szCs w:val="24"/>
      <w:lang w:val="en-AU" w:eastAsia="en-US" w:bidi="ar-SA"/>
    </w:rPr>
  </w:style>
  <w:style w:type="paragraph" w:customStyle="1" w:styleId="H3SCIONArialNarrow14ptBold">
    <w:name w:val="H3 SCION (Arial Narrow 14pt Bold)"/>
    <w:basedOn w:val="H2SCIONArialNarrow14ptBold"/>
    <w:next w:val="Normal"/>
    <w:rPr>
      <w:i w:val="0"/>
    </w:rPr>
  </w:style>
  <w:style w:type="paragraph" w:styleId="Revision">
    <w:name w:val="Revision"/>
    <w:hidden/>
    <w:uiPriority w:val="99"/>
    <w:semiHidden/>
    <w:rPr>
      <w:rFonts w:ascii="Arial" w:hAnsi="Arial"/>
      <w:sz w:val="22"/>
      <w:szCs w:val="24"/>
      <w:lang w:val="en-AU" w:eastAsia="en-US"/>
    </w:rPr>
  </w:style>
  <w:style w:type="character" w:styleId="Strong">
    <w:name w:val="Strong"/>
    <w:basedOn w:val="DefaultParagraphFont"/>
    <w:rPr>
      <w:b/>
      <w:bCs/>
    </w:rPr>
  </w:style>
  <w:style w:type="paragraph" w:styleId="NoSpacing">
    <w:name w:val="No Spacing"/>
    <w:link w:val="NoSpacingChar"/>
    <w:uiPriority w:val="1"/>
    <w:rPr>
      <w:rFonts w:ascii="Arial" w:hAnsi="Arial"/>
      <w:sz w:val="22"/>
      <w:szCs w:val="24"/>
      <w:lang w:val="en-AU" w:eastAsia="en-US"/>
    </w:rPr>
  </w:style>
  <w:style w:type="paragraph" w:styleId="IntenseQuote">
    <w:name w:val="Intense Quote"/>
    <w:basedOn w:val="Normal"/>
    <w:next w:val="Normal"/>
    <w:link w:val="IntenseQuoteChar"/>
    <w:uiPriority w:val="30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hAnsi="Arial"/>
      <w:b/>
      <w:bCs/>
      <w:i/>
      <w:iCs/>
      <w:color w:val="4F81BD" w:themeColor="accent1"/>
      <w:sz w:val="20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="Arial" w:hAnsi="Arial"/>
      <w:b/>
      <w:bCs/>
      <w:i/>
      <w:iCs/>
      <w:color w:val="4F81BD" w:themeColor="accent1"/>
      <w:sz w:val="22"/>
      <w:szCs w:val="24"/>
      <w:lang w:val="en-AU" w:eastAsia="en-US"/>
    </w:rPr>
  </w:style>
  <w:style w:type="paragraph" w:customStyle="1" w:styleId="H1Scion">
    <w:name w:val="H1 Scion"/>
    <w:basedOn w:val="NoSpacing"/>
    <w:next w:val="Normal"/>
    <w:link w:val="H1ScionChar"/>
    <w:qFormat/>
    <w:rsid w:val="008C311E"/>
    <w:pPr>
      <w:spacing w:after="240"/>
    </w:pPr>
    <w:rPr>
      <w:color w:val="666666"/>
      <w:sz w:val="36"/>
      <w:szCs w:val="36"/>
    </w:rPr>
  </w:style>
  <w:style w:type="paragraph" w:customStyle="1" w:styleId="H2Scion">
    <w:name w:val="H2 Scion"/>
    <w:basedOn w:val="NoSpacing"/>
    <w:next w:val="Normal"/>
    <w:link w:val="H2ScionChar"/>
    <w:qFormat/>
    <w:rsid w:val="00BA6379"/>
    <w:pPr>
      <w:spacing w:before="240" w:after="240"/>
    </w:pPr>
    <w:rPr>
      <w:b/>
      <w:sz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8C311E"/>
    <w:rPr>
      <w:rFonts w:ascii="Arial" w:hAnsi="Arial"/>
      <w:sz w:val="22"/>
      <w:szCs w:val="24"/>
      <w:lang w:val="en-AU" w:eastAsia="en-US"/>
    </w:rPr>
  </w:style>
  <w:style w:type="character" w:customStyle="1" w:styleId="H1ScionChar">
    <w:name w:val="H1 Scion Char"/>
    <w:basedOn w:val="NoSpacingChar"/>
    <w:link w:val="H1Scion"/>
    <w:rsid w:val="008C311E"/>
    <w:rPr>
      <w:rFonts w:ascii="Arial" w:hAnsi="Arial"/>
      <w:color w:val="666666"/>
      <w:sz w:val="36"/>
      <w:szCs w:val="36"/>
      <w:lang w:val="en-AU" w:eastAsia="en-US"/>
    </w:rPr>
  </w:style>
  <w:style w:type="paragraph" w:customStyle="1" w:styleId="H3Scion">
    <w:name w:val="H3 Scion"/>
    <w:basedOn w:val="NoSpacing"/>
    <w:next w:val="Normal"/>
    <w:link w:val="H3ScionChar"/>
    <w:qFormat/>
    <w:rsid w:val="00BA6379"/>
    <w:pPr>
      <w:spacing w:before="240" w:after="120"/>
    </w:pPr>
    <w:rPr>
      <w:b/>
      <w:i/>
      <w:sz w:val="24"/>
    </w:rPr>
  </w:style>
  <w:style w:type="character" w:customStyle="1" w:styleId="H2ScionChar">
    <w:name w:val="H2 Scion Char"/>
    <w:basedOn w:val="NoSpacingChar"/>
    <w:link w:val="H2Scion"/>
    <w:rsid w:val="00BA6379"/>
    <w:rPr>
      <w:rFonts w:ascii="Arial" w:hAnsi="Arial"/>
      <w:b/>
      <w:sz w:val="24"/>
      <w:szCs w:val="24"/>
      <w:lang w:val="en-AU" w:eastAsia="en-US"/>
    </w:rPr>
  </w:style>
  <w:style w:type="character" w:customStyle="1" w:styleId="H3ScionChar">
    <w:name w:val="H3 Scion Char"/>
    <w:basedOn w:val="NoSpacingChar"/>
    <w:link w:val="H3Scion"/>
    <w:rsid w:val="00BA6379"/>
    <w:rPr>
      <w:rFonts w:ascii="Arial" w:hAnsi="Arial"/>
      <w:b/>
      <w:i/>
      <w:sz w:val="24"/>
      <w:szCs w:val="24"/>
      <w:lang w:val="en-AU" w:eastAsia="en-US"/>
    </w:rPr>
  </w:style>
  <w:style w:type="character" w:customStyle="1" w:styleId="normaltextrun">
    <w:name w:val="normaltextrun"/>
    <w:basedOn w:val="DefaultParagraphFont"/>
    <w:rsid w:val="00774EC0"/>
  </w:style>
  <w:style w:type="character" w:customStyle="1" w:styleId="eop">
    <w:name w:val="eop"/>
    <w:basedOn w:val="DefaultParagraphFont"/>
    <w:rsid w:val="00774EC0"/>
  </w:style>
  <w:style w:type="paragraph" w:customStyle="1" w:styleId="EndNoteBibliographyTitle">
    <w:name w:val="EndNote Bibliography Title"/>
    <w:basedOn w:val="Normal"/>
    <w:link w:val="EndNoteBibliographyTitleChar"/>
    <w:rsid w:val="004B18ED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B18ED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4B18ED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B18ED"/>
    <w:rPr>
      <w:noProof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BAF88076C95E41BEFD62F256F66306" ma:contentTypeVersion="13" ma:contentTypeDescription="Create a new document." ma:contentTypeScope="" ma:versionID="460c9e094e7c90258b926d2b5c4769e5">
  <xsd:schema xmlns:xsd="http://www.w3.org/2001/XMLSchema" xmlns:xs="http://www.w3.org/2001/XMLSchema" xmlns:p="http://schemas.microsoft.com/office/2006/metadata/properties" xmlns:ns3="d3993fd4-62a0-4558-a4ec-1c875e0ec1fc" xmlns:ns4="2c46b7c4-7241-4796-850d-dd1e86aed1b8" targetNamespace="http://schemas.microsoft.com/office/2006/metadata/properties" ma:root="true" ma:fieldsID="2dffa9bccbb3d2acdeab69e7021f26ac" ns3:_="" ns4:_="">
    <xsd:import namespace="d3993fd4-62a0-4558-a4ec-1c875e0ec1fc"/>
    <xsd:import namespace="2c46b7c4-7241-4796-850d-dd1e86aed1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993fd4-62a0-4558-a4ec-1c875e0ec1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46b7c4-7241-4796-850d-dd1e86aed1b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1C2BD-A843-49A9-957A-075ED48D9891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2c46b7c4-7241-4796-850d-dd1e86aed1b8"/>
    <ds:schemaRef ds:uri="d3993fd4-62a0-4558-a4ec-1c875e0ec1fc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117DF59-41F7-4F7F-BD3B-CBC2595E7B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540DD5-199B-4F97-82FC-084D77C4F3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993fd4-62a0-4558-a4ec-1c875e0ec1fc"/>
    <ds:schemaRef ds:uri="2c46b7c4-7241-4796-850d-dd1e86aed1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10BCAEE-1653-4093-ABDB-1CB93AF55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996</Words>
  <Characters>17234</Characters>
  <Application>Microsoft Office Word</Application>
  <DocSecurity>0</DocSecurity>
  <Lines>143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Charleson Poovaiah</dc:creator>
  <cp:keywords/>
  <dc:description/>
  <cp:lastModifiedBy>Charleson Poovaiah</cp:lastModifiedBy>
  <cp:revision>5</cp:revision>
  <dcterms:created xsi:type="dcterms:W3CDTF">2020-11-05T00:42:00Z</dcterms:created>
  <dcterms:modified xsi:type="dcterms:W3CDTF">2020-11-17T03:01:00Z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0x0101003ABAF88076C95E41BEFD62F256F66306</vt:lpwstr>
  </property>
</Properties>
</file>