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C98E85" w14:textId="77777777" w:rsidR="00EA5D2A" w:rsidRPr="00350268" w:rsidRDefault="00EA5D2A" w:rsidP="00EA5D2A">
      <w:pPr>
        <w:spacing w:line="360" w:lineRule="auto"/>
        <w:jc w:val="center"/>
        <w:rPr>
          <w:rFonts w:ascii="Times New Roman" w:hAnsi="Times New Roman" w:cs="Times New Roman"/>
          <w:b/>
          <w:sz w:val="28"/>
          <w:szCs w:val="24"/>
        </w:rPr>
      </w:pPr>
      <w:r>
        <w:rPr>
          <w:rFonts w:ascii="Times New Roman" w:hAnsi="Times New Roman" w:cs="Times New Roman"/>
          <w:b/>
          <w:sz w:val="28"/>
          <w:szCs w:val="24"/>
        </w:rPr>
        <w:t xml:space="preserve">Supporting Information for: </w:t>
      </w:r>
      <w:r w:rsidRPr="00350268">
        <w:rPr>
          <w:rFonts w:ascii="Times New Roman" w:hAnsi="Times New Roman" w:cs="Times New Roman"/>
          <w:b/>
          <w:sz w:val="28"/>
          <w:szCs w:val="24"/>
        </w:rPr>
        <w:t xml:space="preserve">Density functional </w:t>
      </w:r>
      <w:r w:rsidR="00B92FBD">
        <w:rPr>
          <w:rFonts w:ascii="Times New Roman" w:hAnsi="Times New Roman" w:cs="Times New Roman"/>
          <w:b/>
          <w:sz w:val="28"/>
          <w:szCs w:val="24"/>
        </w:rPr>
        <w:t xml:space="preserve">theory (DFT) </w:t>
      </w:r>
      <w:r w:rsidRPr="00350268">
        <w:rPr>
          <w:rFonts w:ascii="Times New Roman" w:hAnsi="Times New Roman" w:cs="Times New Roman"/>
          <w:b/>
          <w:sz w:val="28"/>
          <w:szCs w:val="24"/>
        </w:rPr>
        <w:t>investigation of the oxidative degradation of NaAsO</w:t>
      </w:r>
      <w:r w:rsidRPr="00350268">
        <w:rPr>
          <w:rFonts w:ascii="Times New Roman" w:hAnsi="Times New Roman" w:cs="Times New Roman"/>
          <w:b/>
          <w:sz w:val="28"/>
          <w:szCs w:val="24"/>
          <w:vertAlign w:val="subscript"/>
        </w:rPr>
        <w:t>2</w:t>
      </w:r>
      <w:r w:rsidRPr="00350268">
        <w:rPr>
          <w:rFonts w:ascii="Times New Roman" w:hAnsi="Times New Roman" w:cs="Times New Roman"/>
          <w:b/>
          <w:sz w:val="28"/>
          <w:szCs w:val="24"/>
        </w:rPr>
        <w:t xml:space="preserve"> via hydroxyl radical</w:t>
      </w:r>
    </w:p>
    <w:p w14:paraId="076D45E2" w14:textId="77777777" w:rsidR="00EA5D2A" w:rsidRDefault="00EA5D2A" w:rsidP="00EA5D2A">
      <w:pPr>
        <w:spacing w:line="360" w:lineRule="auto"/>
        <w:jc w:val="center"/>
        <w:rPr>
          <w:rFonts w:ascii="Times New Roman" w:hAnsi="Times New Roman" w:cs="Times New Roman"/>
          <w:sz w:val="24"/>
          <w:szCs w:val="24"/>
          <w:vertAlign w:val="superscript"/>
        </w:rPr>
      </w:pPr>
      <w:r>
        <w:rPr>
          <w:rFonts w:ascii="Times New Roman" w:hAnsi="Times New Roman" w:cs="Times New Roman"/>
          <w:sz w:val="24"/>
          <w:szCs w:val="24"/>
        </w:rPr>
        <w:t>Ashlyn M. Koval</w:t>
      </w:r>
      <w:r w:rsidRPr="00350268">
        <w:rPr>
          <w:rFonts w:ascii="Times New Roman" w:hAnsi="Times New Roman" w:cs="Times New Roman"/>
          <w:sz w:val="24"/>
          <w:szCs w:val="24"/>
          <w:vertAlign w:val="superscript"/>
        </w:rPr>
        <w:t>†</w:t>
      </w:r>
      <w:r>
        <w:rPr>
          <w:rFonts w:ascii="Times New Roman" w:hAnsi="Times New Roman" w:cs="Times New Roman"/>
          <w:sz w:val="24"/>
          <w:szCs w:val="24"/>
          <w:vertAlign w:val="superscript"/>
        </w:rPr>
        <w:t>,</w:t>
      </w:r>
      <w:r w:rsidRPr="00350268">
        <w:rPr>
          <w:rFonts w:ascii="Times New Roman" w:hAnsi="Times New Roman" w:cs="Times New Roman"/>
          <w:sz w:val="24"/>
          <w:szCs w:val="24"/>
          <w:vertAlign w:val="superscript"/>
        </w:rPr>
        <w:t>‡</w:t>
      </w:r>
      <w:r w:rsidR="00B92FBD">
        <w:rPr>
          <w:rFonts w:ascii="Times New Roman" w:hAnsi="Times New Roman" w:cs="Times New Roman"/>
          <w:sz w:val="24"/>
          <w:szCs w:val="24"/>
          <w:vertAlign w:val="superscript"/>
        </w:rPr>
        <w:t>,$</w:t>
      </w:r>
      <w:r w:rsidR="00FA5E41">
        <w:rPr>
          <w:rFonts w:ascii="Times New Roman" w:hAnsi="Times New Roman" w:cs="Times New Roman"/>
          <w:sz w:val="24"/>
          <w:szCs w:val="24"/>
        </w:rPr>
        <w:t>,</w:t>
      </w:r>
      <w:r>
        <w:rPr>
          <w:rFonts w:ascii="Times New Roman" w:hAnsi="Times New Roman" w:cs="Times New Roman"/>
          <w:sz w:val="24"/>
          <w:szCs w:val="24"/>
        </w:rPr>
        <w:t xml:space="preserve"> Harley McAlexander</w:t>
      </w:r>
      <w:r w:rsidRPr="00350268">
        <w:rPr>
          <w:rFonts w:ascii="Times New Roman" w:hAnsi="Times New Roman" w:cs="Times New Roman"/>
          <w:sz w:val="24"/>
          <w:szCs w:val="24"/>
          <w:vertAlign w:val="superscript"/>
        </w:rPr>
        <w:t>‡</w:t>
      </w:r>
      <w:r>
        <w:rPr>
          <w:rFonts w:ascii="Times New Roman" w:hAnsi="Times New Roman" w:cs="Times New Roman"/>
          <w:sz w:val="24"/>
          <w:szCs w:val="24"/>
        </w:rPr>
        <w:t>, and Manoj Shukla</w:t>
      </w:r>
      <w:r w:rsidRPr="00350268">
        <w:rPr>
          <w:rFonts w:ascii="Times New Roman" w:hAnsi="Times New Roman" w:cs="Times New Roman"/>
          <w:sz w:val="24"/>
          <w:szCs w:val="24"/>
          <w:vertAlign w:val="superscript"/>
        </w:rPr>
        <w:t>‡</w:t>
      </w:r>
    </w:p>
    <w:p w14:paraId="061EA01C" w14:textId="77777777" w:rsidR="00EA5D2A" w:rsidRDefault="00EA5D2A" w:rsidP="00EA5D2A">
      <w:pPr>
        <w:spacing w:line="360" w:lineRule="auto"/>
        <w:jc w:val="center"/>
        <w:rPr>
          <w:rFonts w:ascii="Times New Roman" w:hAnsi="Times New Roman" w:cs="Times New Roman"/>
          <w:i/>
          <w:sz w:val="20"/>
          <w:szCs w:val="24"/>
        </w:rPr>
      </w:pPr>
      <w:r w:rsidRPr="00350268">
        <w:rPr>
          <w:rFonts w:ascii="Times New Roman" w:hAnsi="Times New Roman" w:cs="Times New Roman"/>
          <w:sz w:val="20"/>
          <w:szCs w:val="24"/>
        </w:rPr>
        <w:t>†</w:t>
      </w:r>
      <w:r w:rsidRPr="00350268">
        <w:rPr>
          <w:rFonts w:ascii="Times New Roman" w:hAnsi="Times New Roman" w:cs="Times New Roman"/>
          <w:i/>
          <w:sz w:val="20"/>
          <w:szCs w:val="24"/>
        </w:rPr>
        <w:t>Oak Ridge Institute for Science and Education (ORISE), Oak Ridge, Tennessee 37830 United States</w:t>
      </w:r>
    </w:p>
    <w:p w14:paraId="5FF0FDB4" w14:textId="77777777" w:rsidR="00B92FBD" w:rsidRDefault="00B92FBD" w:rsidP="00B92FBD">
      <w:pPr>
        <w:spacing w:line="360" w:lineRule="auto"/>
        <w:jc w:val="center"/>
        <w:rPr>
          <w:rFonts w:ascii="Times New Roman" w:hAnsi="Times New Roman" w:cs="Times New Roman"/>
          <w:i/>
          <w:sz w:val="20"/>
          <w:szCs w:val="24"/>
        </w:rPr>
      </w:pPr>
      <w:r w:rsidRPr="00895E58">
        <w:rPr>
          <w:rFonts w:ascii="Times New Roman" w:hAnsi="Times New Roman" w:cs="Times New Roman"/>
          <w:sz w:val="20"/>
          <w:szCs w:val="24"/>
        </w:rPr>
        <w:t>$</w:t>
      </w:r>
      <w:r>
        <w:rPr>
          <w:rFonts w:ascii="Times New Roman" w:hAnsi="Times New Roman" w:cs="Times New Roman"/>
          <w:i/>
          <w:sz w:val="20"/>
          <w:szCs w:val="24"/>
        </w:rPr>
        <w:t>Current affiliation: Simetri, Inc., 7005 University Blvd, Winter Park, FL 32792, United States</w:t>
      </w:r>
    </w:p>
    <w:p w14:paraId="3B41D0B0" w14:textId="77777777" w:rsidR="00EA5D2A" w:rsidRDefault="00EA5D2A" w:rsidP="00EA5D2A">
      <w:pPr>
        <w:spacing w:line="360" w:lineRule="auto"/>
        <w:jc w:val="center"/>
        <w:rPr>
          <w:rFonts w:ascii="Times New Roman" w:hAnsi="Times New Roman" w:cs="Times New Roman"/>
          <w:i/>
          <w:sz w:val="20"/>
          <w:szCs w:val="24"/>
        </w:rPr>
      </w:pPr>
      <w:r w:rsidRPr="00350268">
        <w:rPr>
          <w:rFonts w:ascii="Times New Roman" w:hAnsi="Times New Roman" w:cs="Times New Roman"/>
          <w:sz w:val="20"/>
          <w:szCs w:val="24"/>
        </w:rPr>
        <w:t>‡</w:t>
      </w:r>
      <w:r w:rsidRPr="00350268">
        <w:rPr>
          <w:rFonts w:ascii="Times New Roman" w:hAnsi="Times New Roman" w:cs="Times New Roman"/>
          <w:i/>
          <w:sz w:val="20"/>
          <w:szCs w:val="24"/>
        </w:rPr>
        <w:t>Environmental Laboratory, US Army Engineer Research and Development Center, 3909 Halls</w:t>
      </w:r>
      <w:r w:rsidR="00FA5E41">
        <w:rPr>
          <w:rFonts w:ascii="Times New Roman" w:hAnsi="Times New Roman" w:cs="Times New Roman"/>
          <w:i/>
          <w:sz w:val="20"/>
          <w:szCs w:val="24"/>
        </w:rPr>
        <w:t xml:space="preserve"> </w:t>
      </w:r>
      <w:r w:rsidRPr="00350268">
        <w:rPr>
          <w:rFonts w:ascii="Times New Roman" w:hAnsi="Times New Roman" w:cs="Times New Roman"/>
          <w:i/>
          <w:sz w:val="20"/>
          <w:szCs w:val="24"/>
        </w:rPr>
        <w:t>Ferry Road, Vicksburg, Mississippi 39180, United States</w:t>
      </w:r>
    </w:p>
    <w:p w14:paraId="66EFB1CC" w14:textId="77777777" w:rsidR="00EA5D2A" w:rsidRDefault="00EA5D2A" w:rsidP="00EA5D2A">
      <w:pPr>
        <w:spacing w:line="360" w:lineRule="auto"/>
        <w:jc w:val="center"/>
        <w:rPr>
          <w:rFonts w:ascii="Times New Roman" w:hAnsi="Times New Roman" w:cs="Times New Roman"/>
          <w:sz w:val="20"/>
          <w:szCs w:val="24"/>
        </w:rPr>
      </w:pPr>
      <w:r>
        <w:rPr>
          <w:rFonts w:ascii="Times New Roman" w:hAnsi="Times New Roman" w:cs="Times New Roman"/>
          <w:sz w:val="20"/>
          <w:szCs w:val="24"/>
        </w:rPr>
        <w:t xml:space="preserve">Email: Ashlyn.M.Koval@usace.army.mil; </w:t>
      </w:r>
      <w:hyperlink r:id="rId4" w:history="1">
        <w:r w:rsidRPr="00CC7662">
          <w:rPr>
            <w:rStyle w:val="Hyperlink"/>
            <w:rFonts w:ascii="Times New Roman" w:hAnsi="Times New Roman" w:cs="Times New Roman"/>
            <w:sz w:val="20"/>
            <w:szCs w:val="24"/>
          </w:rPr>
          <w:t>Manoj.K.Shukla@usace.army.mil</w:t>
        </w:r>
      </w:hyperlink>
    </w:p>
    <w:p w14:paraId="1484D25A" w14:textId="77777777" w:rsidR="009301DE" w:rsidRDefault="00EA5D2A" w:rsidP="00FA5E41">
      <w:pPr>
        <w:keepNext/>
        <w:jc w:val="center"/>
      </w:pPr>
      <w:r>
        <w:br w:type="page"/>
      </w:r>
      <w:r w:rsidR="00895E58">
        <w:lastRenderedPageBreak/>
        <w:pict w14:anchorId="3C55D4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1.75pt;height:234pt">
            <v:imagedata r:id="rId5" o:title="No Water Optimization"/>
          </v:shape>
        </w:pict>
      </w:r>
      <w:bookmarkStart w:id="0" w:name="_GoBack"/>
      <w:bookmarkEnd w:id="0"/>
    </w:p>
    <w:p w14:paraId="4686881C" w14:textId="493894DC" w:rsidR="00B6524C" w:rsidRPr="00387FAF" w:rsidRDefault="009301DE" w:rsidP="00387FAF">
      <w:pPr>
        <w:pStyle w:val="Caption"/>
        <w:spacing w:line="360" w:lineRule="auto"/>
        <w:rPr>
          <w:i w:val="0"/>
          <w:color w:val="auto"/>
        </w:rPr>
      </w:pPr>
      <w:r w:rsidRPr="00805A7F">
        <w:rPr>
          <w:i w:val="0"/>
          <w:color w:val="auto"/>
        </w:rPr>
        <w:t>Figure S</w:t>
      </w:r>
      <w:r w:rsidRPr="00805A7F">
        <w:rPr>
          <w:i w:val="0"/>
          <w:color w:val="auto"/>
        </w:rPr>
        <w:fldChar w:fldCharType="begin"/>
      </w:r>
      <w:r w:rsidRPr="00805A7F">
        <w:rPr>
          <w:i w:val="0"/>
          <w:color w:val="auto"/>
        </w:rPr>
        <w:instrText xml:space="preserve"> SEQ Figure \* ARABIC </w:instrText>
      </w:r>
      <w:r w:rsidRPr="00805A7F">
        <w:rPr>
          <w:i w:val="0"/>
          <w:color w:val="auto"/>
        </w:rPr>
        <w:fldChar w:fldCharType="separate"/>
      </w:r>
      <w:r w:rsidR="00FA5E41">
        <w:rPr>
          <w:i w:val="0"/>
          <w:noProof/>
          <w:color w:val="auto"/>
        </w:rPr>
        <w:t>1</w:t>
      </w:r>
      <w:r w:rsidRPr="00805A7F">
        <w:rPr>
          <w:i w:val="0"/>
          <w:color w:val="auto"/>
        </w:rPr>
        <w:fldChar w:fldCharType="end"/>
      </w:r>
      <w:r w:rsidR="00B6524C" w:rsidRPr="00805A7F">
        <w:rPr>
          <w:i w:val="0"/>
          <w:color w:val="auto"/>
        </w:rPr>
        <w:t xml:space="preserve">. </w:t>
      </w:r>
      <w:r w:rsidR="00FA5E41">
        <w:rPr>
          <w:i w:val="0"/>
          <w:color w:val="auto"/>
        </w:rPr>
        <w:t>Relative potential energy</w:t>
      </w:r>
      <w:r w:rsidR="00805A7F" w:rsidRPr="00805A7F">
        <w:rPr>
          <w:i w:val="0"/>
          <w:color w:val="auto"/>
        </w:rPr>
        <w:t xml:space="preserve"> in response to As-OH bond</w:t>
      </w:r>
      <w:r w:rsidR="00545A1D">
        <w:rPr>
          <w:i w:val="0"/>
          <w:color w:val="auto"/>
        </w:rPr>
        <w:t xml:space="preserve"> formation</w:t>
      </w:r>
      <w:r w:rsidR="00805A7F" w:rsidRPr="00805A7F">
        <w:rPr>
          <w:i w:val="0"/>
          <w:color w:val="auto"/>
        </w:rPr>
        <w:t xml:space="preserve"> utilizing</w:t>
      </w:r>
      <w:r w:rsidR="00805A7F">
        <w:rPr>
          <w:i w:val="0"/>
          <w:color w:val="auto"/>
        </w:rPr>
        <w:t xml:space="preserve"> M06-2X/6-</w:t>
      </w:r>
      <w:r w:rsidR="005634B9">
        <w:rPr>
          <w:i w:val="0"/>
          <w:color w:val="auto"/>
        </w:rPr>
        <w:t>31G</w:t>
      </w:r>
      <w:r w:rsidR="00805A7F">
        <w:rPr>
          <w:i w:val="0"/>
          <w:color w:val="auto"/>
        </w:rPr>
        <w:t>(d,p)</w:t>
      </w:r>
      <w:r w:rsidR="00805A7F" w:rsidRPr="00805A7F">
        <w:rPr>
          <w:i w:val="0"/>
          <w:color w:val="auto"/>
        </w:rPr>
        <w:t xml:space="preserve">. Geometry was allowed to relax at each step. Implicit solvation was accounted for using PCM </w:t>
      </w:r>
      <w:r w:rsidR="005634B9">
        <w:rPr>
          <w:i w:val="0"/>
          <w:color w:val="auto"/>
        </w:rPr>
        <w:t>approach with</w:t>
      </w:r>
      <w:r w:rsidR="005634B9" w:rsidRPr="00805A7F">
        <w:rPr>
          <w:i w:val="0"/>
          <w:color w:val="auto"/>
        </w:rPr>
        <w:t xml:space="preserve"> </w:t>
      </w:r>
      <w:r w:rsidR="00805A7F" w:rsidRPr="00805A7F">
        <w:rPr>
          <w:i w:val="0"/>
          <w:color w:val="auto"/>
        </w:rPr>
        <w:t>default parameters for water in Gaussian16.</w:t>
      </w:r>
      <w:r w:rsidR="00805A7F">
        <w:rPr>
          <w:i w:val="0"/>
          <w:color w:val="auto"/>
        </w:rPr>
        <w:t xml:space="preserve"> Inset images show the structure at either end of the scan. </w:t>
      </w:r>
      <w:r w:rsidR="00805A7F" w:rsidRPr="005767E1">
        <w:rPr>
          <w:i w:val="0"/>
          <w:color w:val="000000" w:themeColor="text1"/>
        </w:rPr>
        <w:t>The atoms involved in the reaction are show in ball and stick model and the explicitly calculated solvent molecules are shown in tube model. Arsenic is shown in brown, oxygen in red, hydrogen in white, and sodium in pink.</w:t>
      </w:r>
    </w:p>
    <w:p w14:paraId="3220639A" w14:textId="77777777" w:rsidR="00B6524C" w:rsidRDefault="00895E58" w:rsidP="00B6524C">
      <w:pPr>
        <w:keepNext/>
        <w:jc w:val="center"/>
      </w:pPr>
      <w:r>
        <w:pict w14:anchorId="43CA00B2">
          <v:shape id="_x0000_i1026" type="#_x0000_t75" style="width:356.25pt;height:197.25pt">
            <v:imagedata r:id="rId6" o:title="Graph Jump 1"/>
          </v:shape>
        </w:pict>
      </w:r>
    </w:p>
    <w:p w14:paraId="1F99E516" w14:textId="2E158CBB" w:rsidR="00387FAF" w:rsidRDefault="00B6524C" w:rsidP="00387FAF">
      <w:pPr>
        <w:pStyle w:val="Caption"/>
        <w:spacing w:line="360" w:lineRule="auto"/>
        <w:rPr>
          <w:i w:val="0"/>
          <w:color w:val="auto"/>
        </w:rPr>
      </w:pPr>
      <w:r w:rsidRPr="00805A7F">
        <w:rPr>
          <w:i w:val="0"/>
          <w:color w:val="auto"/>
        </w:rPr>
        <w:t>Figure S</w:t>
      </w:r>
      <w:r w:rsidRPr="00805A7F">
        <w:rPr>
          <w:i w:val="0"/>
          <w:color w:val="auto"/>
        </w:rPr>
        <w:fldChar w:fldCharType="begin"/>
      </w:r>
      <w:r w:rsidRPr="00805A7F">
        <w:rPr>
          <w:i w:val="0"/>
          <w:color w:val="auto"/>
        </w:rPr>
        <w:instrText xml:space="preserve"> SEQ Figure \* ARABIC </w:instrText>
      </w:r>
      <w:r w:rsidRPr="00805A7F">
        <w:rPr>
          <w:i w:val="0"/>
          <w:color w:val="auto"/>
        </w:rPr>
        <w:fldChar w:fldCharType="separate"/>
      </w:r>
      <w:r w:rsidR="00FA5E41">
        <w:rPr>
          <w:i w:val="0"/>
          <w:noProof/>
          <w:color w:val="auto"/>
        </w:rPr>
        <w:t>2</w:t>
      </w:r>
      <w:r w:rsidRPr="00805A7F">
        <w:rPr>
          <w:i w:val="0"/>
          <w:color w:val="auto"/>
        </w:rPr>
        <w:fldChar w:fldCharType="end"/>
      </w:r>
      <w:r w:rsidRPr="00805A7F">
        <w:rPr>
          <w:i w:val="0"/>
          <w:color w:val="auto"/>
        </w:rPr>
        <w:t>.</w:t>
      </w:r>
      <w:r w:rsidR="00805A7F" w:rsidRPr="00805A7F">
        <w:rPr>
          <w:i w:val="0"/>
          <w:color w:val="auto"/>
        </w:rPr>
        <w:t xml:space="preserve"> Structures found </w:t>
      </w:r>
      <w:r w:rsidR="00C07E3E">
        <w:rPr>
          <w:i w:val="0"/>
          <w:color w:val="auto"/>
        </w:rPr>
        <w:t>for As-O for the non-bonded hydroxyl at</w:t>
      </w:r>
      <w:r w:rsidR="00805A7F" w:rsidRPr="00805A7F">
        <w:rPr>
          <w:i w:val="0"/>
          <w:color w:val="auto"/>
        </w:rPr>
        <w:t xml:space="preserve"> 2.20 </w:t>
      </w:r>
      <w:r w:rsidR="00805A7F" w:rsidRPr="00805A7F">
        <w:rPr>
          <w:rFonts w:cstheme="minorHAnsi"/>
          <w:i w:val="0"/>
          <w:color w:val="auto"/>
        </w:rPr>
        <w:t>Å</w:t>
      </w:r>
      <w:r w:rsidR="00805A7F" w:rsidRPr="00805A7F">
        <w:rPr>
          <w:i w:val="0"/>
          <w:color w:val="auto"/>
        </w:rPr>
        <w:t xml:space="preserve"> and 2.25 </w:t>
      </w:r>
      <w:r w:rsidR="00805A7F" w:rsidRPr="00805A7F">
        <w:rPr>
          <w:rFonts w:cstheme="minorHAnsi"/>
          <w:i w:val="0"/>
          <w:color w:val="auto"/>
        </w:rPr>
        <w:t>Å</w:t>
      </w:r>
      <w:r w:rsidR="00805A7F" w:rsidRPr="00805A7F">
        <w:rPr>
          <w:i w:val="0"/>
          <w:color w:val="auto"/>
        </w:rPr>
        <w:t xml:space="preserve"> in the relaxed potential energy scan in Figure </w:t>
      </w:r>
      <w:r w:rsidR="00805A7F" w:rsidRPr="00805A7F">
        <w:rPr>
          <w:b/>
          <w:i w:val="0"/>
          <w:color w:val="auto"/>
        </w:rPr>
        <w:t>2B</w:t>
      </w:r>
      <w:r w:rsidR="00805A7F" w:rsidRPr="00805A7F">
        <w:rPr>
          <w:i w:val="0"/>
          <w:color w:val="auto"/>
        </w:rPr>
        <w:t xml:space="preserve"> utilizing M06-2X/6-</w:t>
      </w:r>
      <w:r w:rsidR="00A57FD9" w:rsidRPr="00805A7F">
        <w:rPr>
          <w:i w:val="0"/>
          <w:color w:val="auto"/>
        </w:rPr>
        <w:t>31</w:t>
      </w:r>
      <w:r w:rsidR="00A57FD9">
        <w:rPr>
          <w:i w:val="0"/>
          <w:color w:val="auto"/>
        </w:rPr>
        <w:t>G</w:t>
      </w:r>
      <w:r w:rsidR="00805A7F" w:rsidRPr="00805A7F">
        <w:rPr>
          <w:i w:val="0"/>
          <w:color w:val="auto"/>
        </w:rPr>
        <w:t xml:space="preserve">(d,p). Implicit solvation was accounted for using PCM </w:t>
      </w:r>
      <w:r w:rsidR="00E479C8">
        <w:rPr>
          <w:i w:val="0"/>
          <w:color w:val="auto"/>
        </w:rPr>
        <w:t>approach with</w:t>
      </w:r>
      <w:r w:rsidR="00E479C8" w:rsidRPr="00805A7F">
        <w:rPr>
          <w:i w:val="0"/>
          <w:color w:val="auto"/>
        </w:rPr>
        <w:t xml:space="preserve"> </w:t>
      </w:r>
      <w:r w:rsidR="00805A7F" w:rsidRPr="00805A7F">
        <w:rPr>
          <w:i w:val="0"/>
          <w:color w:val="auto"/>
        </w:rPr>
        <w:t>default parameters for water in Gaussian16. Inset images show the structure at either end of the scan. The atoms involved in the reaction are show in ball and stick model and the explicitly calculated solvent molecules are shown in tube model. Arsenic is shown in brown, oxygen in red, hydrogen in white, and sodium in pink.</w:t>
      </w:r>
      <w:r w:rsidR="00805A7F">
        <w:rPr>
          <w:i w:val="0"/>
          <w:color w:val="auto"/>
        </w:rPr>
        <w:t xml:space="preserve"> The sharp change in energy observed in the scan in Figure </w:t>
      </w:r>
      <w:r w:rsidR="00805A7F" w:rsidRPr="00805A7F">
        <w:rPr>
          <w:b/>
          <w:i w:val="0"/>
          <w:color w:val="auto"/>
        </w:rPr>
        <w:t>2B</w:t>
      </w:r>
      <w:r w:rsidR="00805A7F">
        <w:rPr>
          <w:i w:val="0"/>
          <w:color w:val="auto"/>
        </w:rPr>
        <w:t xml:space="preserve"> is due to rearrangement of the water molecules.</w:t>
      </w:r>
    </w:p>
    <w:p w14:paraId="6DF6442C" w14:textId="77777777" w:rsidR="00FA5E41" w:rsidRDefault="00895E58" w:rsidP="00FA5E41">
      <w:pPr>
        <w:keepNext/>
        <w:jc w:val="center"/>
      </w:pPr>
      <w:r>
        <w:lastRenderedPageBreak/>
        <w:pict w14:anchorId="378983F5">
          <v:shape id="_x0000_i1027" type="#_x0000_t75" style="width:356.25pt;height:496.5pt">
            <v:imagedata r:id="rId7" o:title="631gdp_structures"/>
          </v:shape>
        </w:pict>
      </w:r>
    </w:p>
    <w:p w14:paraId="1BA23B41" w14:textId="0BC4A812" w:rsidR="00FA5E41" w:rsidRDefault="00FA5E41" w:rsidP="00FA5E41">
      <w:pPr>
        <w:pStyle w:val="Caption"/>
        <w:rPr>
          <w:i w:val="0"/>
          <w:color w:val="auto"/>
        </w:rPr>
      </w:pPr>
      <w:r w:rsidRPr="00FA5E41">
        <w:rPr>
          <w:i w:val="0"/>
          <w:color w:val="auto"/>
        </w:rPr>
        <w:t xml:space="preserve">Figure </w:t>
      </w:r>
      <w:r>
        <w:rPr>
          <w:i w:val="0"/>
          <w:color w:val="auto"/>
        </w:rPr>
        <w:t>S</w:t>
      </w:r>
      <w:r w:rsidRPr="00FA5E41">
        <w:rPr>
          <w:i w:val="0"/>
          <w:color w:val="auto"/>
        </w:rPr>
        <w:fldChar w:fldCharType="begin"/>
      </w:r>
      <w:r w:rsidRPr="00FA5E41">
        <w:rPr>
          <w:i w:val="0"/>
          <w:color w:val="auto"/>
        </w:rPr>
        <w:instrText xml:space="preserve"> SEQ Figure \* ARABIC </w:instrText>
      </w:r>
      <w:r w:rsidRPr="00FA5E41">
        <w:rPr>
          <w:i w:val="0"/>
          <w:color w:val="auto"/>
        </w:rPr>
        <w:fldChar w:fldCharType="separate"/>
      </w:r>
      <w:r>
        <w:rPr>
          <w:i w:val="0"/>
          <w:noProof/>
          <w:color w:val="auto"/>
        </w:rPr>
        <w:t>3</w:t>
      </w:r>
      <w:r w:rsidRPr="00FA5E41">
        <w:rPr>
          <w:i w:val="0"/>
          <w:color w:val="auto"/>
        </w:rPr>
        <w:fldChar w:fldCharType="end"/>
      </w:r>
      <w:r w:rsidRPr="00FA5E41">
        <w:rPr>
          <w:i w:val="0"/>
          <w:color w:val="auto"/>
        </w:rPr>
        <w:t xml:space="preserve">. </w:t>
      </w:r>
      <w:r>
        <w:rPr>
          <w:i w:val="0"/>
          <w:color w:val="auto"/>
        </w:rPr>
        <w:t>Example s</w:t>
      </w:r>
      <w:r w:rsidRPr="00FA5E41">
        <w:rPr>
          <w:i w:val="0"/>
          <w:color w:val="auto"/>
        </w:rPr>
        <w:t xml:space="preserve">tructures </w:t>
      </w:r>
      <w:r>
        <w:rPr>
          <w:i w:val="0"/>
          <w:color w:val="auto"/>
        </w:rPr>
        <w:t>from</w:t>
      </w:r>
      <w:r w:rsidRPr="00FA5E41">
        <w:rPr>
          <w:i w:val="0"/>
          <w:color w:val="auto"/>
        </w:rPr>
        <w:t xml:space="preserve"> relaxed potential energy scan</w:t>
      </w:r>
      <w:r>
        <w:rPr>
          <w:i w:val="0"/>
          <w:color w:val="auto"/>
        </w:rPr>
        <w:t>s</w:t>
      </w:r>
      <w:r w:rsidRPr="00FA5E41">
        <w:rPr>
          <w:i w:val="0"/>
          <w:color w:val="auto"/>
        </w:rPr>
        <w:t xml:space="preserve"> in Figure </w:t>
      </w:r>
      <w:r>
        <w:rPr>
          <w:b/>
          <w:i w:val="0"/>
          <w:color w:val="auto"/>
        </w:rPr>
        <w:t>2</w:t>
      </w:r>
      <w:r w:rsidRPr="00FA5E41">
        <w:rPr>
          <w:i w:val="0"/>
          <w:color w:val="auto"/>
        </w:rPr>
        <w:t xml:space="preserve"> utilizing M06-2X/6-</w:t>
      </w:r>
      <w:r w:rsidR="00A57FD9" w:rsidRPr="00FA5E41">
        <w:rPr>
          <w:i w:val="0"/>
          <w:color w:val="auto"/>
        </w:rPr>
        <w:t>31</w:t>
      </w:r>
      <w:r w:rsidR="00A57FD9">
        <w:rPr>
          <w:i w:val="0"/>
          <w:color w:val="auto"/>
        </w:rPr>
        <w:t>G</w:t>
      </w:r>
      <w:r w:rsidRPr="00FA5E41">
        <w:rPr>
          <w:i w:val="0"/>
          <w:color w:val="auto"/>
        </w:rPr>
        <w:t>(d,p)</w:t>
      </w:r>
      <w:r>
        <w:rPr>
          <w:i w:val="0"/>
          <w:color w:val="auto"/>
        </w:rPr>
        <w:t xml:space="preserve"> (Purple line with circle markers).</w:t>
      </w:r>
      <w:r w:rsidRPr="00FA5E41">
        <w:rPr>
          <w:i w:val="0"/>
          <w:color w:val="auto"/>
        </w:rPr>
        <w:t xml:space="preserve"> Implicit solvation was accounted for using PCM and default parameters for water in Gaussian16</w:t>
      </w:r>
      <w:r>
        <w:rPr>
          <w:i w:val="0"/>
          <w:color w:val="auto"/>
        </w:rPr>
        <w:t xml:space="preserve">. </w:t>
      </w:r>
      <w:r w:rsidRPr="00FA5E41">
        <w:rPr>
          <w:i w:val="0"/>
          <w:color w:val="auto"/>
        </w:rPr>
        <w:t xml:space="preserve">The atoms involved in the reaction are show in ball and stick model and the explicitly calculated solvent molecules are shown in tube model. Arsenic is shown in brown, oxygen in red, hydrogen in white, and sodium in pink. </w:t>
      </w:r>
      <w:r w:rsidRPr="00FA5E41">
        <w:rPr>
          <w:b/>
          <w:i w:val="0"/>
          <w:color w:val="auto"/>
        </w:rPr>
        <w:t>A.</w:t>
      </w:r>
      <w:r>
        <w:rPr>
          <w:i w:val="0"/>
          <w:color w:val="auto"/>
        </w:rPr>
        <w:t xml:space="preserve"> From Figure 2A. </w:t>
      </w:r>
      <w:r>
        <w:rPr>
          <w:b/>
          <w:i w:val="0"/>
          <w:color w:val="auto"/>
        </w:rPr>
        <w:t xml:space="preserve">B. </w:t>
      </w:r>
      <w:r>
        <w:rPr>
          <w:i w:val="0"/>
          <w:color w:val="auto"/>
        </w:rPr>
        <w:t xml:space="preserve">From Figure 2B. </w:t>
      </w:r>
      <w:r>
        <w:rPr>
          <w:b/>
          <w:i w:val="0"/>
          <w:color w:val="auto"/>
        </w:rPr>
        <w:t xml:space="preserve">C. </w:t>
      </w:r>
      <w:r>
        <w:rPr>
          <w:i w:val="0"/>
          <w:color w:val="auto"/>
        </w:rPr>
        <w:t xml:space="preserve">From Figure 2C. </w:t>
      </w:r>
    </w:p>
    <w:p w14:paraId="39C7FC6A" w14:textId="77777777" w:rsidR="00FA5E41" w:rsidRDefault="00895E58" w:rsidP="00FA5E41">
      <w:pPr>
        <w:keepNext/>
        <w:jc w:val="center"/>
      </w:pPr>
      <w:r>
        <w:lastRenderedPageBreak/>
        <w:pict w14:anchorId="319818EF">
          <v:shape id="_x0000_i1028" type="#_x0000_t75" style="width:356.25pt;height:498pt">
            <v:imagedata r:id="rId8" o:title="6311gdp_structures"/>
          </v:shape>
        </w:pict>
      </w:r>
    </w:p>
    <w:p w14:paraId="482B3324" w14:textId="00010361" w:rsidR="00FA5E41" w:rsidRPr="00FA5E41" w:rsidRDefault="00FA5E41" w:rsidP="00FA5E41">
      <w:pPr>
        <w:pStyle w:val="Caption"/>
        <w:rPr>
          <w:i w:val="0"/>
          <w:color w:val="auto"/>
        </w:rPr>
      </w:pPr>
      <w:r w:rsidRPr="00FA5E41">
        <w:rPr>
          <w:i w:val="0"/>
          <w:color w:val="auto"/>
        </w:rPr>
        <w:t xml:space="preserve">Figure </w:t>
      </w:r>
      <w:r>
        <w:rPr>
          <w:i w:val="0"/>
          <w:color w:val="auto"/>
        </w:rPr>
        <w:t>S</w:t>
      </w:r>
      <w:r w:rsidRPr="00FA5E41">
        <w:rPr>
          <w:i w:val="0"/>
          <w:color w:val="auto"/>
        </w:rPr>
        <w:fldChar w:fldCharType="begin"/>
      </w:r>
      <w:r w:rsidRPr="00FA5E41">
        <w:rPr>
          <w:i w:val="0"/>
          <w:color w:val="auto"/>
        </w:rPr>
        <w:instrText xml:space="preserve"> SEQ Figure \* ARABIC </w:instrText>
      </w:r>
      <w:r w:rsidRPr="00FA5E41">
        <w:rPr>
          <w:i w:val="0"/>
          <w:color w:val="auto"/>
        </w:rPr>
        <w:fldChar w:fldCharType="separate"/>
      </w:r>
      <w:r w:rsidRPr="00FA5E41">
        <w:rPr>
          <w:i w:val="0"/>
          <w:noProof/>
          <w:color w:val="auto"/>
        </w:rPr>
        <w:t>4</w:t>
      </w:r>
      <w:r w:rsidRPr="00FA5E41">
        <w:rPr>
          <w:i w:val="0"/>
          <w:color w:val="auto"/>
        </w:rPr>
        <w:fldChar w:fldCharType="end"/>
      </w:r>
      <w:r w:rsidRPr="00FA5E41">
        <w:rPr>
          <w:i w:val="0"/>
          <w:color w:val="auto"/>
        </w:rPr>
        <w:t xml:space="preserve">. </w:t>
      </w:r>
      <w:r>
        <w:rPr>
          <w:i w:val="0"/>
          <w:color w:val="auto"/>
        </w:rPr>
        <w:t>Example s</w:t>
      </w:r>
      <w:r w:rsidRPr="00FA5E41">
        <w:rPr>
          <w:i w:val="0"/>
          <w:color w:val="auto"/>
        </w:rPr>
        <w:t xml:space="preserve">tructures from relaxed potential energy scans in Figure </w:t>
      </w:r>
      <w:r w:rsidRPr="00FA5E41">
        <w:rPr>
          <w:b/>
          <w:i w:val="0"/>
          <w:color w:val="auto"/>
        </w:rPr>
        <w:t>2</w:t>
      </w:r>
      <w:r w:rsidRPr="00FA5E41">
        <w:rPr>
          <w:i w:val="0"/>
          <w:color w:val="auto"/>
        </w:rPr>
        <w:t xml:space="preserve"> utilizing M06-2X/6-</w:t>
      </w:r>
      <w:r w:rsidR="00A57FD9" w:rsidRPr="00FA5E41">
        <w:rPr>
          <w:i w:val="0"/>
          <w:color w:val="auto"/>
        </w:rPr>
        <w:t>31</w:t>
      </w:r>
      <w:r w:rsidR="00A57FD9">
        <w:rPr>
          <w:i w:val="0"/>
          <w:color w:val="auto"/>
        </w:rPr>
        <w:t>1G</w:t>
      </w:r>
      <w:r w:rsidRPr="00FA5E41">
        <w:rPr>
          <w:i w:val="0"/>
          <w:color w:val="auto"/>
        </w:rPr>
        <w:t>(d,p)</w:t>
      </w:r>
      <w:r>
        <w:rPr>
          <w:i w:val="0"/>
          <w:color w:val="auto"/>
        </w:rPr>
        <w:t xml:space="preserve"> (orange</w:t>
      </w:r>
      <w:r w:rsidRPr="00FA5E41">
        <w:rPr>
          <w:i w:val="0"/>
          <w:color w:val="auto"/>
        </w:rPr>
        <w:t xml:space="preserve"> li</w:t>
      </w:r>
      <w:r>
        <w:rPr>
          <w:i w:val="0"/>
          <w:color w:val="auto"/>
        </w:rPr>
        <w:t>ne with triangle</w:t>
      </w:r>
      <w:r w:rsidRPr="00FA5E41">
        <w:rPr>
          <w:i w:val="0"/>
          <w:color w:val="auto"/>
        </w:rPr>
        <w:t xml:space="preserve"> markers). Implicit solvation was accounted for using PCM </w:t>
      </w:r>
      <w:r w:rsidR="00A57FD9">
        <w:rPr>
          <w:i w:val="0"/>
          <w:color w:val="auto"/>
        </w:rPr>
        <w:t>approach with</w:t>
      </w:r>
      <w:r w:rsidR="00A57FD9" w:rsidRPr="00FA5E41">
        <w:rPr>
          <w:i w:val="0"/>
          <w:color w:val="auto"/>
        </w:rPr>
        <w:t xml:space="preserve"> </w:t>
      </w:r>
      <w:r w:rsidRPr="00FA5E41">
        <w:rPr>
          <w:i w:val="0"/>
          <w:color w:val="auto"/>
        </w:rPr>
        <w:t xml:space="preserve">default parameters for water in Gaussian16. The atoms involved in the reaction are show in ball and stick model and the explicitly calculated solvent molecules are shown in tube model. Arsenic is shown in brown, oxygen in red, hydrogen in white, and sodium in pink. </w:t>
      </w:r>
      <w:r w:rsidRPr="00FA5E41">
        <w:rPr>
          <w:b/>
          <w:i w:val="0"/>
          <w:color w:val="auto"/>
        </w:rPr>
        <w:t>A.</w:t>
      </w:r>
      <w:r w:rsidRPr="00FA5E41">
        <w:rPr>
          <w:i w:val="0"/>
          <w:color w:val="auto"/>
        </w:rPr>
        <w:t xml:space="preserve"> From Figure 2A. </w:t>
      </w:r>
      <w:r w:rsidRPr="00FA5E41">
        <w:rPr>
          <w:b/>
          <w:i w:val="0"/>
          <w:color w:val="auto"/>
        </w:rPr>
        <w:t xml:space="preserve">B. </w:t>
      </w:r>
      <w:r w:rsidRPr="00FA5E41">
        <w:rPr>
          <w:i w:val="0"/>
          <w:color w:val="auto"/>
        </w:rPr>
        <w:t xml:space="preserve">From Figure 2B. </w:t>
      </w:r>
      <w:r w:rsidRPr="00FA5E41">
        <w:rPr>
          <w:b/>
          <w:i w:val="0"/>
          <w:color w:val="auto"/>
        </w:rPr>
        <w:t xml:space="preserve">C. </w:t>
      </w:r>
      <w:r w:rsidRPr="00FA5E41">
        <w:rPr>
          <w:i w:val="0"/>
          <w:color w:val="auto"/>
        </w:rPr>
        <w:t>From Figure 2C.</w:t>
      </w:r>
    </w:p>
    <w:sectPr w:rsidR="00FA5E41" w:rsidRPr="00FA5E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D2A"/>
    <w:rsid w:val="00387FAF"/>
    <w:rsid w:val="00545A1D"/>
    <w:rsid w:val="005634B9"/>
    <w:rsid w:val="00572B4D"/>
    <w:rsid w:val="00805A7F"/>
    <w:rsid w:val="00895E58"/>
    <w:rsid w:val="009301DE"/>
    <w:rsid w:val="00A57FD9"/>
    <w:rsid w:val="00B6524C"/>
    <w:rsid w:val="00B92FBD"/>
    <w:rsid w:val="00C07E3E"/>
    <w:rsid w:val="00CC4CCA"/>
    <w:rsid w:val="00E479C8"/>
    <w:rsid w:val="00E7057A"/>
    <w:rsid w:val="00EA5D2A"/>
    <w:rsid w:val="00FA5E41"/>
    <w:rsid w:val="00FE07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7AE6E"/>
  <w15:chartTrackingRefBased/>
  <w15:docId w15:val="{55574801-C3D6-41A9-BA87-7C401B502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5D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5D2A"/>
    <w:rPr>
      <w:color w:val="0563C1" w:themeColor="hyperlink"/>
      <w:u w:val="single"/>
    </w:rPr>
  </w:style>
  <w:style w:type="paragraph" w:styleId="Caption">
    <w:name w:val="caption"/>
    <w:basedOn w:val="Normal"/>
    <w:next w:val="Normal"/>
    <w:uiPriority w:val="35"/>
    <w:unhideWhenUsed/>
    <w:qFormat/>
    <w:rsid w:val="009301DE"/>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5634B9"/>
    <w:rPr>
      <w:sz w:val="16"/>
      <w:szCs w:val="16"/>
    </w:rPr>
  </w:style>
  <w:style w:type="paragraph" w:styleId="CommentText">
    <w:name w:val="annotation text"/>
    <w:basedOn w:val="Normal"/>
    <w:link w:val="CommentTextChar"/>
    <w:uiPriority w:val="99"/>
    <w:semiHidden/>
    <w:unhideWhenUsed/>
    <w:rsid w:val="005634B9"/>
    <w:pPr>
      <w:spacing w:line="240" w:lineRule="auto"/>
    </w:pPr>
    <w:rPr>
      <w:sz w:val="20"/>
      <w:szCs w:val="20"/>
    </w:rPr>
  </w:style>
  <w:style w:type="character" w:customStyle="1" w:styleId="CommentTextChar">
    <w:name w:val="Comment Text Char"/>
    <w:basedOn w:val="DefaultParagraphFont"/>
    <w:link w:val="CommentText"/>
    <w:uiPriority w:val="99"/>
    <w:semiHidden/>
    <w:rsid w:val="005634B9"/>
    <w:rPr>
      <w:sz w:val="20"/>
      <w:szCs w:val="20"/>
    </w:rPr>
  </w:style>
  <w:style w:type="paragraph" w:styleId="CommentSubject">
    <w:name w:val="annotation subject"/>
    <w:basedOn w:val="CommentText"/>
    <w:next w:val="CommentText"/>
    <w:link w:val="CommentSubjectChar"/>
    <w:uiPriority w:val="99"/>
    <w:semiHidden/>
    <w:unhideWhenUsed/>
    <w:rsid w:val="005634B9"/>
    <w:rPr>
      <w:b/>
      <w:bCs/>
    </w:rPr>
  </w:style>
  <w:style w:type="character" w:customStyle="1" w:styleId="CommentSubjectChar">
    <w:name w:val="Comment Subject Char"/>
    <w:basedOn w:val="CommentTextChar"/>
    <w:link w:val="CommentSubject"/>
    <w:uiPriority w:val="99"/>
    <w:semiHidden/>
    <w:rsid w:val="005634B9"/>
    <w:rPr>
      <w:b/>
      <w:bCs/>
      <w:sz w:val="20"/>
      <w:szCs w:val="20"/>
    </w:rPr>
  </w:style>
  <w:style w:type="paragraph" w:styleId="BalloonText">
    <w:name w:val="Balloon Text"/>
    <w:basedOn w:val="Normal"/>
    <w:link w:val="BalloonTextChar"/>
    <w:uiPriority w:val="99"/>
    <w:semiHidden/>
    <w:unhideWhenUsed/>
    <w:rsid w:val="005634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34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mailto:Manoj.K.Shukla@usace.army.mil"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447</Words>
  <Characters>2551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US Army</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Koval, Ashley M ERDC-RDE-EL-MS Contractor</dc:creator>
  <cp:keywords/>
  <dc:description/>
  <cp:lastModifiedBy>Koval, Ashley M ERDC-RDE-EL-MS Contractor</cp:lastModifiedBy>
  <cp:revision>3</cp:revision>
  <dcterms:created xsi:type="dcterms:W3CDTF">2021-11-03T20:55:00Z</dcterms:created>
  <dcterms:modified xsi:type="dcterms:W3CDTF">2021-11-03T22:13:00Z</dcterms:modified>
</cp:coreProperties>
</file>