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90D8EF" w14:textId="77777777" w:rsidR="002C126B" w:rsidRDefault="003E5A20">
      <w:pPr>
        <w:ind w:firstLineChars="0" w:firstLine="0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Appendix I</w:t>
      </w:r>
      <w:r>
        <w:rPr>
          <w:rFonts w:hint="eastAsia"/>
          <w:b/>
          <w:color w:val="000000" w:themeColor="text1"/>
          <w:sz w:val="28"/>
        </w:rPr>
        <w:t xml:space="preserve"> </w:t>
      </w:r>
    </w:p>
    <w:p w14:paraId="4E4F7EC9" w14:textId="096F72B9" w:rsidR="0083725A" w:rsidRDefault="003E5A20">
      <w:pPr>
        <w:ind w:firstLineChars="0" w:firstLine="0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Bioequivalence of two pomalidomide capsules in healthy Chinese male subjects</w:t>
      </w:r>
    </w:p>
    <w:p w14:paraId="5ABFCCB8" w14:textId="10F067EF" w:rsidR="0083725A" w:rsidRDefault="003E5A20">
      <w:pPr>
        <w:ind w:firstLineChars="0" w:firstLine="0"/>
        <w:jc w:val="center"/>
        <w:rPr>
          <w:color w:val="000000" w:themeColor="text1"/>
          <w:sz w:val="21"/>
        </w:rPr>
      </w:pPr>
      <w:r>
        <w:rPr>
          <w:rFonts w:hint="eastAsia"/>
          <w:color w:val="000000" w:themeColor="text1"/>
          <w:sz w:val="21"/>
        </w:rPr>
        <w:t>LIU Zheng-zhi</w:t>
      </w:r>
      <w:r>
        <w:rPr>
          <w:rFonts w:hint="eastAsia"/>
          <w:color w:val="000000" w:themeColor="text1"/>
          <w:sz w:val="21"/>
          <w:vertAlign w:val="superscript"/>
        </w:rPr>
        <w:t>1</w:t>
      </w:r>
      <w:r>
        <w:rPr>
          <w:color w:val="000000" w:themeColor="text1"/>
          <w:sz w:val="21"/>
        </w:rPr>
        <w:t>, XU zhong-nan</w:t>
      </w:r>
      <w:r w:rsidR="000750A8">
        <w:rPr>
          <w:color w:val="000000" w:themeColor="text1"/>
          <w:sz w:val="21"/>
          <w:vertAlign w:val="superscript"/>
        </w:rPr>
        <w:t>2</w:t>
      </w:r>
      <w:r>
        <w:rPr>
          <w:rFonts w:hint="eastAsia"/>
          <w:color w:val="000000" w:themeColor="text1"/>
          <w:sz w:val="21"/>
        </w:rPr>
        <w:t>,</w:t>
      </w:r>
      <w:r>
        <w:rPr>
          <w:color w:val="000000" w:themeColor="text1"/>
          <w:sz w:val="21"/>
        </w:rPr>
        <w:t xml:space="preserve"> GAO</w:t>
      </w:r>
      <w:r>
        <w:rPr>
          <w:rFonts w:hint="eastAsia"/>
          <w:color w:val="000000" w:themeColor="text1"/>
          <w:sz w:val="21"/>
        </w:rPr>
        <w:t xml:space="preserve"> </w:t>
      </w:r>
      <w:r>
        <w:rPr>
          <w:color w:val="000000" w:themeColor="text1"/>
          <w:sz w:val="21"/>
        </w:rPr>
        <w:t>zhen-yue</w:t>
      </w:r>
      <w:r>
        <w:rPr>
          <w:color w:val="000000" w:themeColor="text1"/>
          <w:sz w:val="21"/>
          <w:vertAlign w:val="superscript"/>
        </w:rPr>
        <w:t>2</w:t>
      </w:r>
      <w:r>
        <w:rPr>
          <w:color w:val="000000" w:themeColor="text1"/>
          <w:sz w:val="21"/>
        </w:rPr>
        <w:t xml:space="preserve">, </w:t>
      </w:r>
      <w:r>
        <w:rPr>
          <w:rFonts w:hint="eastAsia"/>
          <w:color w:val="000000" w:themeColor="text1"/>
          <w:sz w:val="21"/>
        </w:rPr>
        <w:t>REN Qing</w:t>
      </w:r>
      <w:r>
        <w:rPr>
          <w:color w:val="000000" w:themeColor="text1"/>
          <w:sz w:val="21"/>
          <w:vertAlign w:val="superscript"/>
        </w:rPr>
        <w:t>1</w:t>
      </w:r>
      <w:r>
        <w:rPr>
          <w:rFonts w:hint="eastAsia"/>
          <w:color w:val="000000" w:themeColor="text1"/>
          <w:sz w:val="21"/>
        </w:rPr>
        <w:t>, CHANG</w:t>
      </w:r>
      <w:r>
        <w:rPr>
          <w:color w:val="000000" w:themeColor="text1"/>
          <w:sz w:val="21"/>
        </w:rPr>
        <w:t xml:space="preserve"> </w:t>
      </w:r>
      <w:r>
        <w:rPr>
          <w:rFonts w:hint="eastAsia"/>
          <w:color w:val="000000" w:themeColor="text1"/>
          <w:sz w:val="21"/>
        </w:rPr>
        <w:t>Tian-ying</w:t>
      </w:r>
      <w:r>
        <w:rPr>
          <w:color w:val="000000" w:themeColor="text1"/>
          <w:sz w:val="21"/>
          <w:vertAlign w:val="superscript"/>
        </w:rPr>
        <w:t>1</w:t>
      </w:r>
      <w:r>
        <w:rPr>
          <w:rFonts w:hint="eastAsia"/>
          <w:color w:val="000000" w:themeColor="text1"/>
          <w:sz w:val="21"/>
        </w:rPr>
        <w:t>,</w:t>
      </w:r>
      <w:r>
        <w:rPr>
          <w:color w:val="000000" w:themeColor="text1"/>
          <w:sz w:val="21"/>
        </w:rPr>
        <w:t xml:space="preserve"> XUE jin-ling</w:t>
      </w:r>
      <w:r>
        <w:rPr>
          <w:color w:val="000000" w:themeColor="text1"/>
          <w:sz w:val="21"/>
          <w:vertAlign w:val="superscript"/>
        </w:rPr>
        <w:t>2</w:t>
      </w:r>
      <w:r>
        <w:rPr>
          <w:color w:val="000000" w:themeColor="text1"/>
          <w:sz w:val="21"/>
        </w:rPr>
        <w:t xml:space="preserve">, </w:t>
      </w:r>
      <w:bookmarkStart w:id="0" w:name="_GoBack"/>
      <w:bookmarkEnd w:id="0"/>
      <w:r>
        <w:rPr>
          <w:rFonts w:hint="eastAsia"/>
          <w:color w:val="000000" w:themeColor="text1"/>
          <w:sz w:val="21"/>
        </w:rPr>
        <w:t>YANG Hai-miao</w:t>
      </w:r>
      <w:r>
        <w:rPr>
          <w:color w:val="000000" w:themeColor="text1"/>
          <w:sz w:val="21"/>
          <w:vertAlign w:val="superscript"/>
        </w:rPr>
        <w:t>1</w:t>
      </w:r>
    </w:p>
    <w:p w14:paraId="0B1D97AC" w14:textId="3C27DF29" w:rsidR="0083725A" w:rsidRDefault="003E5A20">
      <w:pPr>
        <w:pStyle w:val="10"/>
        <w:ind w:left="360" w:firstLineChars="0" w:firstLine="0"/>
        <w:rPr>
          <w:color w:val="000000" w:themeColor="text1"/>
          <w:sz w:val="21"/>
        </w:rPr>
      </w:pPr>
      <w:r>
        <w:rPr>
          <w:color w:val="000000" w:themeColor="text1"/>
          <w:sz w:val="21"/>
        </w:rPr>
        <w:t xml:space="preserve">(1. Changchun University of Chinese Medicine Affiliated Hospital, Institute of Phase I Clinical Trial, Changchun 130012, 2. Chai </w:t>
      </w:r>
      <w:r w:rsidR="002C126B">
        <w:rPr>
          <w:rFonts w:hint="eastAsia"/>
          <w:color w:val="000000" w:themeColor="text1"/>
          <w:sz w:val="21"/>
        </w:rPr>
        <w:t>T</w:t>
      </w:r>
      <w:r>
        <w:rPr>
          <w:color w:val="000000" w:themeColor="text1"/>
          <w:sz w:val="21"/>
        </w:rPr>
        <w:t xml:space="preserve">ai </w:t>
      </w:r>
      <w:r w:rsidR="002C126B">
        <w:rPr>
          <w:color w:val="000000" w:themeColor="text1"/>
          <w:sz w:val="21"/>
        </w:rPr>
        <w:t>T</w:t>
      </w:r>
      <w:r>
        <w:rPr>
          <w:color w:val="000000" w:themeColor="text1"/>
          <w:sz w:val="21"/>
        </w:rPr>
        <w:t xml:space="preserve">ianqing </w:t>
      </w:r>
      <w:r w:rsidR="002C126B">
        <w:rPr>
          <w:color w:val="000000" w:themeColor="text1"/>
          <w:sz w:val="21"/>
        </w:rPr>
        <w:t>P</w:t>
      </w:r>
      <w:r>
        <w:rPr>
          <w:color w:val="000000" w:themeColor="text1"/>
          <w:sz w:val="21"/>
        </w:rPr>
        <w:t xml:space="preserve">harmaceutical </w:t>
      </w:r>
      <w:r w:rsidR="002C126B">
        <w:rPr>
          <w:color w:val="000000" w:themeColor="text1"/>
          <w:sz w:val="21"/>
        </w:rPr>
        <w:t>G</w:t>
      </w:r>
      <w:r>
        <w:rPr>
          <w:color w:val="000000" w:themeColor="text1"/>
          <w:sz w:val="21"/>
        </w:rPr>
        <w:t>roup co., Ltd</w:t>
      </w:r>
      <w:r>
        <w:rPr>
          <w:rFonts w:hint="eastAsia"/>
          <w:color w:val="000000" w:themeColor="text1"/>
          <w:sz w:val="21"/>
        </w:rPr>
        <w:t>)</w:t>
      </w:r>
    </w:p>
    <w:p w14:paraId="6792EF29" w14:textId="77777777" w:rsidR="002C126B" w:rsidRDefault="003E5A20" w:rsidP="00AB5335">
      <w:pPr>
        <w:ind w:firstLineChars="0" w:firstLine="0"/>
        <w:rPr>
          <w:b/>
          <w:color w:val="000000" w:themeColor="text1"/>
        </w:rPr>
      </w:pPr>
      <w:r>
        <w:rPr>
          <w:b/>
          <w:color w:val="000000" w:themeColor="text1"/>
        </w:rPr>
        <w:t>[Summary]</w:t>
      </w:r>
      <w:r>
        <w:rPr>
          <w:rFonts w:hint="eastAsia"/>
          <w:b/>
          <w:color w:val="000000" w:themeColor="text1"/>
        </w:rPr>
        <w:t xml:space="preserve"> </w:t>
      </w:r>
    </w:p>
    <w:p w14:paraId="20D87D3C" w14:textId="77777777" w:rsidR="002C126B" w:rsidRDefault="003E5A20" w:rsidP="002C126B">
      <w:pPr>
        <w:ind w:firstLineChars="0" w:firstLine="0"/>
        <w:rPr>
          <w:color w:val="000000" w:themeColor="text1"/>
        </w:rPr>
      </w:pPr>
      <w:r>
        <w:rPr>
          <w:b/>
          <w:color w:val="000000" w:themeColor="text1"/>
        </w:rPr>
        <w:t>OBJECTIVE:</w:t>
      </w:r>
      <w:r>
        <w:rPr>
          <w:color w:val="000000" w:themeColor="text1"/>
        </w:rPr>
        <w:t xml:space="preserve"> To evaluate the pharmacokinetic characteristics of </w:t>
      </w:r>
      <w:r>
        <w:rPr>
          <w:rFonts w:hint="eastAsia"/>
          <w:color w:val="000000" w:themeColor="text1"/>
        </w:rPr>
        <w:t>pomalidomide</w:t>
      </w:r>
      <w:r>
        <w:rPr>
          <w:color w:val="000000" w:themeColor="text1"/>
        </w:rPr>
        <w:t xml:space="preserve"> capsules in healthy Chinese male subjects, and to evaluate the bioequivalence of the two preparations at 1mg and 4mg doses, respectively. </w:t>
      </w:r>
    </w:p>
    <w:p w14:paraId="5789D84B" w14:textId="5548D9BA" w:rsidR="002C126B" w:rsidRDefault="003E5A20" w:rsidP="002C126B">
      <w:pPr>
        <w:ind w:firstLineChars="0" w:firstLine="0"/>
        <w:rPr>
          <w:color w:val="000000" w:themeColor="text1"/>
        </w:rPr>
      </w:pPr>
      <w:r>
        <w:rPr>
          <w:b/>
          <w:color w:val="000000" w:themeColor="text1"/>
        </w:rPr>
        <w:t>METHODS:</w:t>
      </w:r>
      <w:r>
        <w:rPr>
          <w:color w:val="000000" w:themeColor="text1"/>
        </w:rPr>
        <w:t xml:space="preserve"> </w:t>
      </w:r>
      <w:r>
        <w:rPr>
          <w:bCs/>
          <w:color w:val="000000" w:themeColor="text1"/>
        </w:rPr>
        <w:t>At 1</w:t>
      </w:r>
      <w:r w:rsidR="002C126B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mg and 4</w:t>
      </w:r>
      <w:r w:rsidR="002C126B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mg doses, fasting and </w:t>
      </w:r>
      <w:r w:rsidR="002C126B">
        <w:rPr>
          <w:bCs/>
          <w:color w:val="000000" w:themeColor="text1"/>
        </w:rPr>
        <w:t xml:space="preserve">fed </w:t>
      </w:r>
      <w:r>
        <w:rPr>
          <w:bCs/>
          <w:color w:val="000000" w:themeColor="text1"/>
        </w:rPr>
        <w:t xml:space="preserve">state bioequivalence tests were conducted.24 healthy male subjects were recruited for each dose group, fasting state and </w:t>
      </w:r>
      <w:r w:rsidR="002C126B">
        <w:rPr>
          <w:bCs/>
          <w:color w:val="000000" w:themeColor="text1"/>
        </w:rPr>
        <w:t>fed</w:t>
      </w:r>
      <w:r>
        <w:rPr>
          <w:bCs/>
          <w:color w:val="000000" w:themeColor="text1"/>
        </w:rPr>
        <w:t xml:space="preserve"> state. The test reagent and </w:t>
      </w:r>
      <w:r>
        <w:rPr>
          <w:rFonts w:hint="eastAsia"/>
          <w:color w:val="000000" w:themeColor="text1"/>
        </w:rPr>
        <w:t>pomalidomide</w:t>
      </w:r>
      <w:r>
        <w:rPr>
          <w:color w:val="000000" w:themeColor="text1"/>
        </w:rPr>
        <w:t xml:space="preserve"> capsules</w:t>
      </w:r>
      <w:r>
        <w:rPr>
          <w:bCs/>
          <w:color w:val="000000" w:themeColor="text1"/>
        </w:rPr>
        <w:t xml:space="preserve"> (Imnovid</w:t>
      </w:r>
      <w:r>
        <w:rPr>
          <w:bCs/>
          <w:color w:val="000000" w:themeColor="text1"/>
          <w:vertAlign w:val="superscript"/>
        </w:rPr>
        <w:t>®</w:t>
      </w:r>
      <w:r>
        <w:rPr>
          <w:bCs/>
          <w:color w:val="000000" w:themeColor="text1"/>
        </w:rPr>
        <w:t xml:space="preserve">) were taken orally. A randomized, open, two-cycle, two-crossing fasting state and self-controlled </w:t>
      </w:r>
      <w:r w:rsidR="002C126B">
        <w:rPr>
          <w:bCs/>
          <w:color w:val="000000" w:themeColor="text1"/>
        </w:rPr>
        <w:t>fed</w:t>
      </w:r>
      <w:r>
        <w:rPr>
          <w:bCs/>
          <w:color w:val="000000" w:themeColor="text1"/>
        </w:rPr>
        <w:t xml:space="preserve"> state test method was adopted. The plasma drug concentrations at 17 different time points within 48</w:t>
      </w:r>
      <w:r w:rsidR="002C126B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h were determined by liquid chromatography-tandem mass spectrometry (lc-ms). The main pharmacokinetic parameters Cmax, AUC</w:t>
      </w:r>
      <w:r>
        <w:rPr>
          <w:bCs/>
          <w:color w:val="000000" w:themeColor="text1"/>
          <w:vertAlign w:val="subscript"/>
        </w:rPr>
        <w:t>0-t</w:t>
      </w:r>
      <w:r>
        <w:rPr>
          <w:bCs/>
          <w:color w:val="000000" w:themeColor="text1"/>
        </w:rPr>
        <w:t xml:space="preserve"> and </w:t>
      </w:r>
      <w:r>
        <w:rPr>
          <w:rFonts w:hint="eastAsia"/>
          <w:color w:val="000000" w:themeColor="text1"/>
        </w:rPr>
        <w:t>AUC</w:t>
      </w:r>
      <w:r>
        <w:rPr>
          <w:rFonts w:hint="eastAsia"/>
          <w:color w:val="000000" w:themeColor="text1"/>
          <w:vertAlign w:val="subscript"/>
        </w:rPr>
        <w:t>0-</w:t>
      </w:r>
      <w:r>
        <w:rPr>
          <w:rFonts w:hint="eastAsia"/>
          <w:color w:val="000000" w:themeColor="text1"/>
          <w:vertAlign w:val="subscript"/>
        </w:rPr>
        <w:t>∞</w:t>
      </w:r>
      <w:r>
        <w:rPr>
          <w:bCs/>
          <w:color w:val="000000" w:themeColor="text1"/>
        </w:rPr>
        <w:t xml:space="preserve"> were calculated to evaluate the bioequivalence.</w:t>
      </w:r>
      <w:r>
        <w:rPr>
          <w:color w:val="000000" w:themeColor="text1"/>
        </w:rPr>
        <w:t xml:space="preserve"> </w:t>
      </w:r>
    </w:p>
    <w:p w14:paraId="40E35579" w14:textId="77777777" w:rsidR="002C126B" w:rsidRDefault="003E5A20" w:rsidP="002C126B">
      <w:pPr>
        <w:ind w:firstLineChars="0" w:firstLine="0"/>
        <w:rPr>
          <w:color w:val="000000" w:themeColor="text1"/>
        </w:rPr>
      </w:pPr>
      <w:r>
        <w:rPr>
          <w:b/>
          <w:color w:val="000000" w:themeColor="text1"/>
        </w:rPr>
        <w:t>RESULTS:</w:t>
      </w:r>
      <w:r>
        <w:rPr>
          <w:color w:val="000000" w:themeColor="text1"/>
        </w:rPr>
        <w:t xml:space="preserve"> In the 1</w:t>
      </w:r>
      <w:r w:rsidR="002C126B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mg dose group, the geometric mean ratios of main pharmacokinetic parameters Cmax, </w:t>
      </w:r>
      <w:r>
        <w:rPr>
          <w:bCs/>
          <w:color w:val="000000" w:themeColor="text1"/>
        </w:rPr>
        <w:t>AUC</w:t>
      </w:r>
      <w:r>
        <w:rPr>
          <w:bCs/>
          <w:color w:val="000000" w:themeColor="text1"/>
          <w:vertAlign w:val="subscript"/>
        </w:rPr>
        <w:t>0-t</w:t>
      </w:r>
      <w:r>
        <w:rPr>
          <w:color w:val="000000" w:themeColor="text1"/>
        </w:rPr>
        <w:t xml:space="preserve"> and </w:t>
      </w:r>
      <w:r>
        <w:rPr>
          <w:rFonts w:hint="eastAsia"/>
          <w:color w:val="000000" w:themeColor="text1"/>
        </w:rPr>
        <w:t>AUC</w:t>
      </w:r>
      <w:r>
        <w:rPr>
          <w:rFonts w:hint="eastAsia"/>
          <w:color w:val="000000" w:themeColor="text1"/>
          <w:vertAlign w:val="subscript"/>
        </w:rPr>
        <w:t>0-</w:t>
      </w:r>
      <w:r>
        <w:rPr>
          <w:rFonts w:hint="eastAsia"/>
          <w:color w:val="000000" w:themeColor="text1"/>
          <w:vertAlign w:val="subscript"/>
        </w:rPr>
        <w:t>∞</w:t>
      </w:r>
      <w:r>
        <w:rPr>
          <w:color w:val="000000" w:themeColor="text1"/>
        </w:rPr>
        <w:t xml:space="preserve"> were 95.06%, 94.24% and 94.64%, respectively, and the 90% confidence intervals were 87.91%-102.80%, 89.73%-98.99% and 90.29-99.19% </w:t>
      </w:r>
      <w:r>
        <w:rPr>
          <w:rFonts w:hint="eastAsia"/>
          <w:color w:val="000000" w:themeColor="text1"/>
        </w:rPr>
        <w:t>under</w:t>
      </w:r>
      <w:r>
        <w:rPr>
          <w:color w:val="000000" w:themeColor="text1"/>
        </w:rPr>
        <w:t xml:space="preserve"> fasting state, respectiv</w:t>
      </w:r>
      <w:r>
        <w:rPr>
          <w:rFonts w:hint="eastAsia"/>
          <w:color w:val="000000" w:themeColor="text1"/>
        </w:rPr>
        <w:t>ely, within the range of 80.00% to 125.00%, meeting the criteria for bioequivalence.</w:t>
      </w:r>
      <w:r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 xml:space="preserve">The ratios of geometrical mean values of main pharmacokinetic parameters </w:t>
      </w:r>
      <w:r>
        <w:rPr>
          <w:bCs/>
          <w:color w:val="000000" w:themeColor="text1"/>
        </w:rPr>
        <w:t>Cmax, AUC</w:t>
      </w:r>
      <w:r>
        <w:rPr>
          <w:bCs/>
          <w:color w:val="000000" w:themeColor="text1"/>
          <w:vertAlign w:val="subscript"/>
        </w:rPr>
        <w:t>0-t</w:t>
      </w:r>
      <w:r>
        <w:rPr>
          <w:bCs/>
          <w:color w:val="000000" w:themeColor="text1"/>
        </w:rPr>
        <w:t xml:space="preserve"> and </w:t>
      </w:r>
      <w:r>
        <w:rPr>
          <w:rFonts w:hint="eastAsia"/>
          <w:color w:val="000000" w:themeColor="text1"/>
        </w:rPr>
        <w:t>AUC</w:t>
      </w:r>
      <w:r>
        <w:rPr>
          <w:rFonts w:hint="eastAsia"/>
          <w:color w:val="000000" w:themeColor="text1"/>
          <w:vertAlign w:val="subscript"/>
        </w:rPr>
        <w:t>0-</w:t>
      </w:r>
      <w:r>
        <w:rPr>
          <w:rFonts w:hint="eastAsia"/>
          <w:color w:val="000000" w:themeColor="text1"/>
          <w:vertAlign w:val="subscript"/>
        </w:rPr>
        <w:t>∞</w:t>
      </w:r>
      <w:r>
        <w:rPr>
          <w:rFonts w:hint="eastAsia"/>
          <w:color w:val="000000" w:themeColor="text1"/>
        </w:rPr>
        <w:t xml:space="preserve"> in the 1mg dose group were 94.98%, 96.27% and 96.19%</w:t>
      </w:r>
      <w:r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in</w:t>
      </w:r>
      <w:r>
        <w:rPr>
          <w:color w:val="000000" w:themeColor="text1"/>
        </w:rPr>
        <w:t xml:space="preserve"> the fed state</w:t>
      </w:r>
      <w:r>
        <w:rPr>
          <w:rFonts w:hint="eastAsia"/>
          <w:color w:val="000000" w:themeColor="text1"/>
        </w:rPr>
        <w:t>, respectively, and the</w:t>
      </w:r>
      <w:r>
        <w:rPr>
          <w:color w:val="000000" w:themeColor="text1"/>
        </w:rPr>
        <w:t xml:space="preserve"> confidence intervals of 90% were 88.34-102.11%, 89.84-103.17% and 89.82-103.02%, respectively, which ranged from 80.00% to 125.00%, meeting the criteria of bioequivalence. In the 4mg dose group, the geometric mean ratios of main pharmacokinetic parameters </w:t>
      </w:r>
      <w:r>
        <w:rPr>
          <w:bCs/>
          <w:color w:val="000000" w:themeColor="text1"/>
        </w:rPr>
        <w:t xml:space="preserve">Cmax, </w:t>
      </w:r>
      <w:r>
        <w:rPr>
          <w:bCs/>
          <w:color w:val="000000" w:themeColor="text1"/>
        </w:rPr>
        <w:lastRenderedPageBreak/>
        <w:t>AUC</w:t>
      </w:r>
      <w:r>
        <w:rPr>
          <w:bCs/>
          <w:color w:val="000000" w:themeColor="text1"/>
          <w:vertAlign w:val="subscript"/>
        </w:rPr>
        <w:t>0-t</w:t>
      </w:r>
      <w:r>
        <w:rPr>
          <w:bCs/>
          <w:color w:val="000000" w:themeColor="text1"/>
        </w:rPr>
        <w:t xml:space="preserve"> and </w:t>
      </w:r>
      <w:r>
        <w:rPr>
          <w:rFonts w:hint="eastAsia"/>
          <w:color w:val="000000" w:themeColor="text1"/>
        </w:rPr>
        <w:t>AUC</w:t>
      </w:r>
      <w:r>
        <w:rPr>
          <w:rFonts w:hint="eastAsia"/>
          <w:color w:val="000000" w:themeColor="text1"/>
          <w:vertAlign w:val="subscript"/>
        </w:rPr>
        <w:t>0-</w:t>
      </w:r>
      <w:r>
        <w:rPr>
          <w:rFonts w:hint="eastAsia"/>
          <w:color w:val="000000" w:themeColor="text1"/>
          <w:vertAlign w:val="subscript"/>
        </w:rPr>
        <w:t>∞</w:t>
      </w:r>
      <w:r>
        <w:rPr>
          <w:rFonts w:hint="eastAsia"/>
          <w:color w:val="000000" w:themeColor="text1"/>
        </w:rPr>
        <w:t xml:space="preserve"> were 103.62%, 106.53%, 107.00%, and 90% confidence intervals were 95.79-112.09%, 102.85-110.35%, and 103.40-110.73%, respectively, after oral administration of test preparations and reference preparations under</w:t>
      </w:r>
      <w:r>
        <w:rPr>
          <w:color w:val="000000" w:themeColor="text1"/>
        </w:rPr>
        <w:t xml:space="preserve"> fasting state</w:t>
      </w:r>
      <w:r>
        <w:rPr>
          <w:rFonts w:hint="eastAsia"/>
          <w:color w:val="000000" w:themeColor="text1"/>
        </w:rPr>
        <w:t>, which met the criteria of bioequivalence.</w:t>
      </w:r>
      <w:r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 xml:space="preserve">In the 4mg dose group, the geometric mean ratios of main pharmacokinetic parameters </w:t>
      </w:r>
      <w:r>
        <w:rPr>
          <w:bCs/>
          <w:color w:val="000000" w:themeColor="text1"/>
        </w:rPr>
        <w:t>Cmax, AUC</w:t>
      </w:r>
      <w:r>
        <w:rPr>
          <w:bCs/>
          <w:color w:val="000000" w:themeColor="text1"/>
          <w:vertAlign w:val="subscript"/>
        </w:rPr>
        <w:t>0-t</w:t>
      </w:r>
      <w:r>
        <w:rPr>
          <w:bCs/>
          <w:color w:val="000000" w:themeColor="text1"/>
        </w:rPr>
        <w:t xml:space="preserve"> and </w:t>
      </w:r>
      <w:r>
        <w:rPr>
          <w:rFonts w:hint="eastAsia"/>
          <w:color w:val="000000" w:themeColor="text1"/>
        </w:rPr>
        <w:t>AUC</w:t>
      </w:r>
      <w:r>
        <w:rPr>
          <w:rFonts w:hint="eastAsia"/>
          <w:color w:val="000000" w:themeColor="text1"/>
          <w:vertAlign w:val="subscript"/>
        </w:rPr>
        <w:t>0-</w:t>
      </w:r>
      <w:r>
        <w:rPr>
          <w:rFonts w:hint="eastAsia"/>
          <w:color w:val="000000" w:themeColor="text1"/>
          <w:vertAlign w:val="subscript"/>
        </w:rPr>
        <w:t>∞</w:t>
      </w:r>
      <w:r>
        <w:rPr>
          <w:rFonts w:hint="eastAsia"/>
          <w:color w:val="000000" w:themeColor="text1"/>
        </w:rPr>
        <w:t xml:space="preserve"> were 109.68%, 103.16% and 102.78%, respectively, and the 90% confidence intervals were 103.37-116.36%, 100.</w:t>
      </w:r>
      <w:r>
        <w:rPr>
          <w:color w:val="000000" w:themeColor="text1"/>
        </w:rPr>
        <w:t>69-105.69% and 100.34-105.29%</w:t>
      </w:r>
      <w:r>
        <w:rPr>
          <w:rFonts w:hint="eastAsia"/>
          <w:color w:val="000000" w:themeColor="text1"/>
        </w:rPr>
        <w:t xml:space="preserve"> in</w:t>
      </w:r>
      <w:r>
        <w:rPr>
          <w:color w:val="000000" w:themeColor="text1"/>
        </w:rPr>
        <w:t xml:space="preserve"> the fed state, respectively, which were within the range of 80.00% to 125.00%, meeting the criteria for bioequivalence. </w:t>
      </w:r>
    </w:p>
    <w:p w14:paraId="09505962" w14:textId="2C1B08EB" w:rsidR="0083725A" w:rsidRDefault="003E5A20" w:rsidP="00AB5335">
      <w:pPr>
        <w:ind w:firstLineChars="0" w:firstLine="0"/>
        <w:rPr>
          <w:color w:val="000000" w:themeColor="text1"/>
        </w:rPr>
      </w:pPr>
      <w:r>
        <w:rPr>
          <w:b/>
          <w:color w:val="000000" w:themeColor="text1"/>
        </w:rPr>
        <w:t>Conclusion</w:t>
      </w:r>
      <w:r>
        <w:rPr>
          <w:rFonts w:hint="eastAsia"/>
          <w:b/>
          <w:color w:val="000000" w:themeColor="text1"/>
        </w:rPr>
        <w:t>:</w:t>
      </w:r>
      <w:r>
        <w:rPr>
          <w:color w:val="000000" w:themeColor="text1"/>
        </w:rPr>
        <w:t xml:space="preserve"> Both 1</w:t>
      </w:r>
      <w:r w:rsidR="002C126B">
        <w:rPr>
          <w:color w:val="000000" w:themeColor="text1"/>
        </w:rPr>
        <w:t xml:space="preserve"> </w:t>
      </w:r>
      <w:r>
        <w:rPr>
          <w:color w:val="000000" w:themeColor="text1"/>
        </w:rPr>
        <w:t>mg and 4</w:t>
      </w:r>
      <w:r w:rsidR="002C126B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mg doses </w:t>
      </w:r>
      <w:r w:rsidR="002C126B">
        <w:rPr>
          <w:color w:val="000000" w:themeColor="text1"/>
        </w:rPr>
        <w:t xml:space="preserve">of </w:t>
      </w:r>
      <w:r w:rsidR="002C126B">
        <w:rPr>
          <w:rFonts w:hint="eastAsia"/>
          <w:color w:val="000000" w:themeColor="text1"/>
        </w:rPr>
        <w:t>pomalidomide</w:t>
      </w:r>
      <w:r w:rsidR="002C126B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showed bioequivalence </w:t>
      </w:r>
      <w:r w:rsidR="002C126B">
        <w:rPr>
          <w:color w:val="000000" w:themeColor="text1"/>
        </w:rPr>
        <w:t>in both the</w:t>
      </w:r>
      <w:r>
        <w:rPr>
          <w:color w:val="000000" w:themeColor="text1"/>
        </w:rPr>
        <w:t xml:space="preserve"> fasting and </w:t>
      </w:r>
      <w:r w:rsidR="002C126B">
        <w:rPr>
          <w:color w:val="000000" w:themeColor="text1"/>
        </w:rPr>
        <w:t>fed state</w:t>
      </w:r>
      <w:r>
        <w:rPr>
          <w:color w:val="000000" w:themeColor="text1"/>
        </w:rPr>
        <w:t>.</w:t>
      </w:r>
    </w:p>
    <w:p w14:paraId="6A81CB68" w14:textId="2A2735D4" w:rsidR="0083725A" w:rsidRDefault="002C126B" w:rsidP="00AB5335">
      <w:pPr>
        <w:spacing w:before="100" w:beforeAutospacing="1"/>
        <w:ind w:firstLineChars="0" w:firstLine="0"/>
        <w:rPr>
          <w:color w:val="000000" w:themeColor="text1"/>
        </w:rPr>
      </w:pPr>
      <w:r>
        <w:rPr>
          <w:rFonts w:hint="eastAsia"/>
          <w:b/>
          <w:color w:val="000000" w:themeColor="text1"/>
        </w:rPr>
        <w:t>[</w:t>
      </w:r>
      <w:r w:rsidR="003E5A20">
        <w:rPr>
          <w:rFonts w:hint="eastAsia"/>
          <w:b/>
          <w:color w:val="000000" w:themeColor="text1"/>
        </w:rPr>
        <w:t>Key words</w:t>
      </w:r>
      <w:r>
        <w:rPr>
          <w:b/>
          <w:color w:val="000000" w:themeColor="text1"/>
        </w:rPr>
        <w:t>]</w:t>
      </w:r>
      <w:r>
        <w:rPr>
          <w:rFonts w:hint="eastAsia"/>
          <w:b/>
          <w:color w:val="000000" w:themeColor="text1"/>
        </w:rPr>
        <w:t xml:space="preserve"> </w:t>
      </w:r>
      <w:r w:rsidR="003E5A20">
        <w:rPr>
          <w:color w:val="000000" w:themeColor="text1"/>
        </w:rPr>
        <w:t>P</w:t>
      </w:r>
      <w:r w:rsidR="003E5A20">
        <w:rPr>
          <w:rFonts w:hint="eastAsia"/>
          <w:color w:val="000000" w:themeColor="text1"/>
        </w:rPr>
        <w:t>omalidomide</w:t>
      </w:r>
      <w:r w:rsidR="003E5A20">
        <w:rPr>
          <w:color w:val="000000" w:themeColor="text1"/>
        </w:rPr>
        <w:t xml:space="preserve"> capsules; multiple myeloma; LC-MS/MS; bioequivalence</w:t>
      </w:r>
    </w:p>
    <w:sectPr w:rsidR="008372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D09E11" w16cex:dateUtc="2021-08-25T02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FFF5E6C" w16cid:durableId="24D09E11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3D0AED" w14:textId="77777777" w:rsidR="000352AF" w:rsidRDefault="000352AF">
      <w:pPr>
        <w:spacing w:line="240" w:lineRule="auto"/>
        <w:ind w:firstLine="480"/>
      </w:pPr>
      <w:r>
        <w:separator/>
      </w:r>
    </w:p>
  </w:endnote>
  <w:endnote w:type="continuationSeparator" w:id="0">
    <w:p w14:paraId="448FC908" w14:textId="77777777" w:rsidR="000352AF" w:rsidRDefault="000352AF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747689" w14:textId="77777777" w:rsidR="0083725A" w:rsidRDefault="0083725A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A94E2" w14:textId="77777777" w:rsidR="0083725A" w:rsidRDefault="0083725A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D01F2" w14:textId="77777777" w:rsidR="0083725A" w:rsidRDefault="0083725A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36836E" w14:textId="77777777" w:rsidR="000352AF" w:rsidRDefault="000352AF">
      <w:pPr>
        <w:spacing w:line="240" w:lineRule="auto"/>
        <w:ind w:firstLine="480"/>
      </w:pPr>
      <w:r>
        <w:separator/>
      </w:r>
    </w:p>
  </w:footnote>
  <w:footnote w:type="continuationSeparator" w:id="0">
    <w:p w14:paraId="463FD746" w14:textId="77777777" w:rsidR="000352AF" w:rsidRDefault="000352AF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21291A" w14:textId="77777777" w:rsidR="0083725A" w:rsidRDefault="0083725A">
    <w:pPr>
      <w:pStyle w:val="a8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99664" w14:textId="77777777" w:rsidR="0083725A" w:rsidRDefault="0083725A">
    <w:pPr>
      <w:pStyle w:val="a8"/>
      <w:pBdr>
        <w:bottom w:val="none" w:sz="0" w:space="1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FC8B" w14:textId="77777777" w:rsidR="0083725A" w:rsidRDefault="0083725A">
    <w:pPr>
      <w:pStyle w:val="a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Y_MEDREF_DOCUID" w:val="{D98BA6F8-61EF-4969-8960-0857DF4CB004}"/>
    <w:docVar w:name="KY_MEDREF_VERSION" w:val="3"/>
  </w:docVars>
  <w:rsids>
    <w:rsidRoot w:val="00CB6EAD"/>
    <w:rsid w:val="00002A7D"/>
    <w:rsid w:val="000209DF"/>
    <w:rsid w:val="0002204E"/>
    <w:rsid w:val="00034C9A"/>
    <w:rsid w:val="000352AF"/>
    <w:rsid w:val="00044F25"/>
    <w:rsid w:val="000458AE"/>
    <w:rsid w:val="000640C9"/>
    <w:rsid w:val="000652D1"/>
    <w:rsid w:val="00070A35"/>
    <w:rsid w:val="00071D55"/>
    <w:rsid w:val="000750A8"/>
    <w:rsid w:val="00082D62"/>
    <w:rsid w:val="000918B0"/>
    <w:rsid w:val="00093FF8"/>
    <w:rsid w:val="000B15B6"/>
    <w:rsid w:val="000B2867"/>
    <w:rsid w:val="000B51C5"/>
    <w:rsid w:val="000B5746"/>
    <w:rsid w:val="000B6BE9"/>
    <w:rsid w:val="000C750E"/>
    <w:rsid w:val="000E5979"/>
    <w:rsid w:val="000F112A"/>
    <w:rsid w:val="000F43E5"/>
    <w:rsid w:val="00107134"/>
    <w:rsid w:val="00107C9D"/>
    <w:rsid w:val="00110850"/>
    <w:rsid w:val="0011697A"/>
    <w:rsid w:val="00122D9B"/>
    <w:rsid w:val="00130D6B"/>
    <w:rsid w:val="001345B5"/>
    <w:rsid w:val="00141A81"/>
    <w:rsid w:val="0014261A"/>
    <w:rsid w:val="00143DB7"/>
    <w:rsid w:val="00146572"/>
    <w:rsid w:val="00147CC8"/>
    <w:rsid w:val="00155659"/>
    <w:rsid w:val="00156D4E"/>
    <w:rsid w:val="0016342F"/>
    <w:rsid w:val="00163DB5"/>
    <w:rsid w:val="00174EBD"/>
    <w:rsid w:val="00190251"/>
    <w:rsid w:val="00190C14"/>
    <w:rsid w:val="00192FD8"/>
    <w:rsid w:val="0019688E"/>
    <w:rsid w:val="00196EFA"/>
    <w:rsid w:val="00197365"/>
    <w:rsid w:val="001B3FE8"/>
    <w:rsid w:val="001C2418"/>
    <w:rsid w:val="001C2EE4"/>
    <w:rsid w:val="001D04A0"/>
    <w:rsid w:val="001D0EDD"/>
    <w:rsid w:val="001D2386"/>
    <w:rsid w:val="001D5D34"/>
    <w:rsid w:val="001D6CDD"/>
    <w:rsid w:val="001E16BB"/>
    <w:rsid w:val="001E3C69"/>
    <w:rsid w:val="001E4C1E"/>
    <w:rsid w:val="00200B50"/>
    <w:rsid w:val="002165EE"/>
    <w:rsid w:val="00223FAF"/>
    <w:rsid w:val="0022732D"/>
    <w:rsid w:val="002276F7"/>
    <w:rsid w:val="00235A0D"/>
    <w:rsid w:val="00251E32"/>
    <w:rsid w:val="00253942"/>
    <w:rsid w:val="00254D3D"/>
    <w:rsid w:val="002556FE"/>
    <w:rsid w:val="00257AAA"/>
    <w:rsid w:val="002671F9"/>
    <w:rsid w:val="002738B4"/>
    <w:rsid w:val="00273FD4"/>
    <w:rsid w:val="00277F48"/>
    <w:rsid w:val="00281F87"/>
    <w:rsid w:val="00284C3B"/>
    <w:rsid w:val="00297577"/>
    <w:rsid w:val="002A7E4F"/>
    <w:rsid w:val="002B00A7"/>
    <w:rsid w:val="002B0799"/>
    <w:rsid w:val="002B3F6A"/>
    <w:rsid w:val="002B738F"/>
    <w:rsid w:val="002C126B"/>
    <w:rsid w:val="0030094E"/>
    <w:rsid w:val="003105C2"/>
    <w:rsid w:val="003115A4"/>
    <w:rsid w:val="00311940"/>
    <w:rsid w:val="003132FD"/>
    <w:rsid w:val="00314772"/>
    <w:rsid w:val="00317A1D"/>
    <w:rsid w:val="00317D95"/>
    <w:rsid w:val="00322414"/>
    <w:rsid w:val="00334C15"/>
    <w:rsid w:val="0034196B"/>
    <w:rsid w:val="003432B7"/>
    <w:rsid w:val="00343B4A"/>
    <w:rsid w:val="00346C0E"/>
    <w:rsid w:val="00350D4E"/>
    <w:rsid w:val="00373743"/>
    <w:rsid w:val="00381B0C"/>
    <w:rsid w:val="00381F23"/>
    <w:rsid w:val="003841B6"/>
    <w:rsid w:val="003853F4"/>
    <w:rsid w:val="0039255D"/>
    <w:rsid w:val="00394C73"/>
    <w:rsid w:val="003A13D0"/>
    <w:rsid w:val="003B341A"/>
    <w:rsid w:val="003D5181"/>
    <w:rsid w:val="003E45EE"/>
    <w:rsid w:val="003E5A20"/>
    <w:rsid w:val="003E6CAC"/>
    <w:rsid w:val="003F2F33"/>
    <w:rsid w:val="0042239A"/>
    <w:rsid w:val="00427183"/>
    <w:rsid w:val="0043038A"/>
    <w:rsid w:val="00437674"/>
    <w:rsid w:val="00443034"/>
    <w:rsid w:val="00451424"/>
    <w:rsid w:val="004523CF"/>
    <w:rsid w:val="00460FBD"/>
    <w:rsid w:val="004619B1"/>
    <w:rsid w:val="00462C93"/>
    <w:rsid w:val="00465A3A"/>
    <w:rsid w:val="00474325"/>
    <w:rsid w:val="00474A16"/>
    <w:rsid w:val="00486ACC"/>
    <w:rsid w:val="004A20E5"/>
    <w:rsid w:val="004A47FB"/>
    <w:rsid w:val="004A7B30"/>
    <w:rsid w:val="004B1627"/>
    <w:rsid w:val="004C28E1"/>
    <w:rsid w:val="004C5923"/>
    <w:rsid w:val="004D6A62"/>
    <w:rsid w:val="004D7F23"/>
    <w:rsid w:val="004E5607"/>
    <w:rsid w:val="004F2445"/>
    <w:rsid w:val="00503028"/>
    <w:rsid w:val="005031ED"/>
    <w:rsid w:val="00503A27"/>
    <w:rsid w:val="00510D1F"/>
    <w:rsid w:val="00521337"/>
    <w:rsid w:val="0053536C"/>
    <w:rsid w:val="00540C31"/>
    <w:rsid w:val="0055018D"/>
    <w:rsid w:val="005571F3"/>
    <w:rsid w:val="005608BB"/>
    <w:rsid w:val="00566A83"/>
    <w:rsid w:val="00574865"/>
    <w:rsid w:val="00581DBB"/>
    <w:rsid w:val="005958DF"/>
    <w:rsid w:val="005A1584"/>
    <w:rsid w:val="005B1024"/>
    <w:rsid w:val="005B3B1E"/>
    <w:rsid w:val="005B7FDA"/>
    <w:rsid w:val="005C266A"/>
    <w:rsid w:val="005C4119"/>
    <w:rsid w:val="005C63F6"/>
    <w:rsid w:val="005C7371"/>
    <w:rsid w:val="005D7E5E"/>
    <w:rsid w:val="006074F9"/>
    <w:rsid w:val="0062291C"/>
    <w:rsid w:val="00626F2A"/>
    <w:rsid w:val="006414C5"/>
    <w:rsid w:val="006426E3"/>
    <w:rsid w:val="00647AAB"/>
    <w:rsid w:val="006501C5"/>
    <w:rsid w:val="006567CF"/>
    <w:rsid w:val="00656D82"/>
    <w:rsid w:val="00656F0C"/>
    <w:rsid w:val="00656FD9"/>
    <w:rsid w:val="006625B3"/>
    <w:rsid w:val="00664AFA"/>
    <w:rsid w:val="006653FF"/>
    <w:rsid w:val="00666397"/>
    <w:rsid w:val="00666A94"/>
    <w:rsid w:val="006870CC"/>
    <w:rsid w:val="00692141"/>
    <w:rsid w:val="006A1520"/>
    <w:rsid w:val="006B2673"/>
    <w:rsid w:val="006B3BBA"/>
    <w:rsid w:val="006C0800"/>
    <w:rsid w:val="006C1344"/>
    <w:rsid w:val="006D1F28"/>
    <w:rsid w:val="006E71C3"/>
    <w:rsid w:val="006F018E"/>
    <w:rsid w:val="006F3B61"/>
    <w:rsid w:val="006F7059"/>
    <w:rsid w:val="007030B1"/>
    <w:rsid w:val="0070445F"/>
    <w:rsid w:val="0070633A"/>
    <w:rsid w:val="00710C12"/>
    <w:rsid w:val="00712F2D"/>
    <w:rsid w:val="007131CA"/>
    <w:rsid w:val="007148D0"/>
    <w:rsid w:val="00720CFE"/>
    <w:rsid w:val="00722D50"/>
    <w:rsid w:val="00724C35"/>
    <w:rsid w:val="0072767C"/>
    <w:rsid w:val="00730529"/>
    <w:rsid w:val="00731766"/>
    <w:rsid w:val="00731C54"/>
    <w:rsid w:val="0073324F"/>
    <w:rsid w:val="007378C0"/>
    <w:rsid w:val="00737CE5"/>
    <w:rsid w:val="007526F9"/>
    <w:rsid w:val="007600F3"/>
    <w:rsid w:val="00767829"/>
    <w:rsid w:val="00771CA1"/>
    <w:rsid w:val="0078310E"/>
    <w:rsid w:val="00785489"/>
    <w:rsid w:val="0079095E"/>
    <w:rsid w:val="00795BFD"/>
    <w:rsid w:val="007B6297"/>
    <w:rsid w:val="007C162C"/>
    <w:rsid w:val="007C1728"/>
    <w:rsid w:val="007C2A64"/>
    <w:rsid w:val="007C5E01"/>
    <w:rsid w:val="007C5EF0"/>
    <w:rsid w:val="007E01FA"/>
    <w:rsid w:val="007E496E"/>
    <w:rsid w:val="007F04CC"/>
    <w:rsid w:val="007F5D79"/>
    <w:rsid w:val="008008E5"/>
    <w:rsid w:val="00801BFB"/>
    <w:rsid w:val="00802253"/>
    <w:rsid w:val="00811CFB"/>
    <w:rsid w:val="00816222"/>
    <w:rsid w:val="00817798"/>
    <w:rsid w:val="008226D9"/>
    <w:rsid w:val="00836178"/>
    <w:rsid w:val="0083725A"/>
    <w:rsid w:val="00843AF2"/>
    <w:rsid w:val="00853C0C"/>
    <w:rsid w:val="00855EC5"/>
    <w:rsid w:val="00857A5E"/>
    <w:rsid w:val="00860F96"/>
    <w:rsid w:val="00862CC4"/>
    <w:rsid w:val="0086566B"/>
    <w:rsid w:val="0087067E"/>
    <w:rsid w:val="00871B6D"/>
    <w:rsid w:val="008810DF"/>
    <w:rsid w:val="00882707"/>
    <w:rsid w:val="00895673"/>
    <w:rsid w:val="00896F44"/>
    <w:rsid w:val="008A2E64"/>
    <w:rsid w:val="008A5CDA"/>
    <w:rsid w:val="008A5E0F"/>
    <w:rsid w:val="008C42AD"/>
    <w:rsid w:val="008D27AB"/>
    <w:rsid w:val="008D6E05"/>
    <w:rsid w:val="008D702F"/>
    <w:rsid w:val="008E41F4"/>
    <w:rsid w:val="008E4573"/>
    <w:rsid w:val="008E4DE1"/>
    <w:rsid w:val="008E5902"/>
    <w:rsid w:val="008E7B3A"/>
    <w:rsid w:val="008F2F07"/>
    <w:rsid w:val="008F6D8B"/>
    <w:rsid w:val="009045C4"/>
    <w:rsid w:val="00906909"/>
    <w:rsid w:val="00906D55"/>
    <w:rsid w:val="00912248"/>
    <w:rsid w:val="009147F5"/>
    <w:rsid w:val="00915E22"/>
    <w:rsid w:val="009170B6"/>
    <w:rsid w:val="009253DE"/>
    <w:rsid w:val="00932CCC"/>
    <w:rsid w:val="00942CBF"/>
    <w:rsid w:val="00945055"/>
    <w:rsid w:val="00945A83"/>
    <w:rsid w:val="0094732D"/>
    <w:rsid w:val="00960032"/>
    <w:rsid w:val="00966AE3"/>
    <w:rsid w:val="00975ACE"/>
    <w:rsid w:val="00992559"/>
    <w:rsid w:val="009972AC"/>
    <w:rsid w:val="009A006C"/>
    <w:rsid w:val="009A3575"/>
    <w:rsid w:val="009A4A51"/>
    <w:rsid w:val="009B7FBD"/>
    <w:rsid w:val="009C07BE"/>
    <w:rsid w:val="009C0940"/>
    <w:rsid w:val="009C4435"/>
    <w:rsid w:val="009C462B"/>
    <w:rsid w:val="009D05CC"/>
    <w:rsid w:val="009D798D"/>
    <w:rsid w:val="009D7ABD"/>
    <w:rsid w:val="009E019D"/>
    <w:rsid w:val="009E3FFF"/>
    <w:rsid w:val="009F358A"/>
    <w:rsid w:val="00A035D5"/>
    <w:rsid w:val="00A0429C"/>
    <w:rsid w:val="00A11886"/>
    <w:rsid w:val="00A15339"/>
    <w:rsid w:val="00A26C7E"/>
    <w:rsid w:val="00A3416F"/>
    <w:rsid w:val="00A368B3"/>
    <w:rsid w:val="00A3711B"/>
    <w:rsid w:val="00A50843"/>
    <w:rsid w:val="00A509C2"/>
    <w:rsid w:val="00A74D81"/>
    <w:rsid w:val="00A81FD1"/>
    <w:rsid w:val="00A81FDB"/>
    <w:rsid w:val="00A84A3F"/>
    <w:rsid w:val="00A84DE8"/>
    <w:rsid w:val="00A85DF1"/>
    <w:rsid w:val="00A943B6"/>
    <w:rsid w:val="00A976E5"/>
    <w:rsid w:val="00A97A31"/>
    <w:rsid w:val="00AA58D9"/>
    <w:rsid w:val="00AA652E"/>
    <w:rsid w:val="00AB1116"/>
    <w:rsid w:val="00AB5335"/>
    <w:rsid w:val="00AC54F9"/>
    <w:rsid w:val="00AD0D8B"/>
    <w:rsid w:val="00AD70E6"/>
    <w:rsid w:val="00AE43E6"/>
    <w:rsid w:val="00AE7110"/>
    <w:rsid w:val="00AF6170"/>
    <w:rsid w:val="00B124C8"/>
    <w:rsid w:val="00B35F7D"/>
    <w:rsid w:val="00B437D9"/>
    <w:rsid w:val="00B46321"/>
    <w:rsid w:val="00B46DB3"/>
    <w:rsid w:val="00B502B5"/>
    <w:rsid w:val="00B517F8"/>
    <w:rsid w:val="00B53038"/>
    <w:rsid w:val="00B548B5"/>
    <w:rsid w:val="00B6180D"/>
    <w:rsid w:val="00B64F5E"/>
    <w:rsid w:val="00B671AE"/>
    <w:rsid w:val="00B806C4"/>
    <w:rsid w:val="00B840CB"/>
    <w:rsid w:val="00B87A8D"/>
    <w:rsid w:val="00B9570B"/>
    <w:rsid w:val="00BA65E7"/>
    <w:rsid w:val="00BC2573"/>
    <w:rsid w:val="00BD0434"/>
    <w:rsid w:val="00BF626B"/>
    <w:rsid w:val="00C11C37"/>
    <w:rsid w:val="00C25195"/>
    <w:rsid w:val="00C336DC"/>
    <w:rsid w:val="00C33CDC"/>
    <w:rsid w:val="00C340C3"/>
    <w:rsid w:val="00C40FCF"/>
    <w:rsid w:val="00C51101"/>
    <w:rsid w:val="00C51777"/>
    <w:rsid w:val="00C51C02"/>
    <w:rsid w:val="00C5317B"/>
    <w:rsid w:val="00C540BD"/>
    <w:rsid w:val="00C64CB9"/>
    <w:rsid w:val="00C90BCC"/>
    <w:rsid w:val="00C968AE"/>
    <w:rsid w:val="00CA13AD"/>
    <w:rsid w:val="00CB42D7"/>
    <w:rsid w:val="00CB6EAD"/>
    <w:rsid w:val="00CC0C07"/>
    <w:rsid w:val="00CC1C0A"/>
    <w:rsid w:val="00CC3D13"/>
    <w:rsid w:val="00CC4351"/>
    <w:rsid w:val="00CD2943"/>
    <w:rsid w:val="00CD526D"/>
    <w:rsid w:val="00CD7CBB"/>
    <w:rsid w:val="00D006CE"/>
    <w:rsid w:val="00D04804"/>
    <w:rsid w:val="00D2063A"/>
    <w:rsid w:val="00D30055"/>
    <w:rsid w:val="00D32D19"/>
    <w:rsid w:val="00D33310"/>
    <w:rsid w:val="00D34698"/>
    <w:rsid w:val="00D34A64"/>
    <w:rsid w:val="00D424E7"/>
    <w:rsid w:val="00D61D57"/>
    <w:rsid w:val="00D63559"/>
    <w:rsid w:val="00D65825"/>
    <w:rsid w:val="00D66C80"/>
    <w:rsid w:val="00D67298"/>
    <w:rsid w:val="00D8487F"/>
    <w:rsid w:val="00D86FB8"/>
    <w:rsid w:val="00D875E6"/>
    <w:rsid w:val="00D95DBB"/>
    <w:rsid w:val="00DA4E28"/>
    <w:rsid w:val="00DA7B1B"/>
    <w:rsid w:val="00DB1D6D"/>
    <w:rsid w:val="00DB554F"/>
    <w:rsid w:val="00DC2118"/>
    <w:rsid w:val="00DD17C3"/>
    <w:rsid w:val="00DD2090"/>
    <w:rsid w:val="00DE286A"/>
    <w:rsid w:val="00DE2935"/>
    <w:rsid w:val="00DE49A4"/>
    <w:rsid w:val="00DF3FC3"/>
    <w:rsid w:val="00E0013A"/>
    <w:rsid w:val="00E02C65"/>
    <w:rsid w:val="00E13514"/>
    <w:rsid w:val="00E13919"/>
    <w:rsid w:val="00E24DD1"/>
    <w:rsid w:val="00E26B2E"/>
    <w:rsid w:val="00E306EB"/>
    <w:rsid w:val="00E4062C"/>
    <w:rsid w:val="00E47356"/>
    <w:rsid w:val="00E501BF"/>
    <w:rsid w:val="00E5707A"/>
    <w:rsid w:val="00E67F1F"/>
    <w:rsid w:val="00E801A2"/>
    <w:rsid w:val="00E851EF"/>
    <w:rsid w:val="00E86EA9"/>
    <w:rsid w:val="00EA015D"/>
    <w:rsid w:val="00ED40CC"/>
    <w:rsid w:val="00ED6B6F"/>
    <w:rsid w:val="00EE3A4D"/>
    <w:rsid w:val="00EE55F2"/>
    <w:rsid w:val="00EE609F"/>
    <w:rsid w:val="00EF346B"/>
    <w:rsid w:val="00EF366F"/>
    <w:rsid w:val="00F039A2"/>
    <w:rsid w:val="00F04580"/>
    <w:rsid w:val="00F10164"/>
    <w:rsid w:val="00F11950"/>
    <w:rsid w:val="00F17132"/>
    <w:rsid w:val="00F331F1"/>
    <w:rsid w:val="00F41A29"/>
    <w:rsid w:val="00F44295"/>
    <w:rsid w:val="00F44A68"/>
    <w:rsid w:val="00F47C78"/>
    <w:rsid w:val="00F549A6"/>
    <w:rsid w:val="00F70248"/>
    <w:rsid w:val="00F72D84"/>
    <w:rsid w:val="00F73515"/>
    <w:rsid w:val="00F751DA"/>
    <w:rsid w:val="00F95323"/>
    <w:rsid w:val="00F954A2"/>
    <w:rsid w:val="00FB588C"/>
    <w:rsid w:val="00FB7EDE"/>
    <w:rsid w:val="00FC1601"/>
    <w:rsid w:val="00FC2867"/>
    <w:rsid w:val="00FD0EC9"/>
    <w:rsid w:val="00FD4B43"/>
    <w:rsid w:val="00FD601D"/>
    <w:rsid w:val="00FE5B64"/>
    <w:rsid w:val="421C580C"/>
    <w:rsid w:val="6A98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5B7F2C"/>
  <w15:docId w15:val="{5785DD01-BF53-440E-A725-99A4DE970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uto"/>
      <w:ind w:firstLineChars="200" w:firstLine="200"/>
      <w:jc w:val="both"/>
    </w:pPr>
    <w:rPr>
      <w:rFonts w:ascii="Times New Roman" w:hAnsi="Times New Roman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pPr>
      <w:ind w:firstLine="480"/>
    </w:pPr>
    <w:rPr>
      <w:rFonts w:asciiTheme="majorHAnsi" w:eastAsia="黑体" w:hAnsiTheme="majorHAnsi" w:cstheme="majorBidi"/>
      <w:sz w:val="20"/>
      <w:szCs w:val="20"/>
    </w:rPr>
  </w:style>
  <w:style w:type="paragraph" w:styleId="a4">
    <w:name w:val="Balloon Text"/>
    <w:basedOn w:val="a"/>
    <w:link w:val="a5"/>
    <w:uiPriority w:val="99"/>
    <w:unhideWhenUsed/>
    <w:pPr>
      <w:spacing w:line="240" w:lineRule="auto"/>
    </w:pPr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aa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9">
    <w:name w:val="页眉 字符"/>
    <w:basedOn w:val="a0"/>
    <w:link w:val="a8"/>
    <w:uiPriority w:val="99"/>
    <w:rPr>
      <w:rFonts w:ascii="Times New Roman" w:hAnsi="Times New Roman"/>
      <w:sz w:val="18"/>
      <w:szCs w:val="18"/>
    </w:rPr>
  </w:style>
  <w:style w:type="character" w:customStyle="1" w:styleId="a7">
    <w:name w:val="页脚 字符"/>
    <w:basedOn w:val="a0"/>
    <w:link w:val="a6"/>
    <w:uiPriority w:val="99"/>
    <w:rPr>
      <w:rFonts w:ascii="Times New Roman" w:hAnsi="Times New Roman"/>
      <w:sz w:val="18"/>
      <w:szCs w:val="18"/>
    </w:rPr>
  </w:style>
  <w:style w:type="paragraph" w:customStyle="1" w:styleId="ac">
    <w:name w:val="表格左对齐"/>
    <w:basedOn w:val="a"/>
    <w:qFormat/>
    <w:pPr>
      <w:spacing w:before="120" w:line="240" w:lineRule="auto"/>
      <w:ind w:firstLineChars="0" w:firstLine="0"/>
      <w:jc w:val="left"/>
    </w:pPr>
    <w:rPr>
      <w:rFonts w:eastAsia="宋体" w:cs="Times New Roman"/>
      <w:sz w:val="21"/>
      <w:szCs w:val="21"/>
    </w:rPr>
  </w:style>
  <w:style w:type="character" w:customStyle="1" w:styleId="a5">
    <w:name w:val="批注框文本 字符"/>
    <w:basedOn w:val="a0"/>
    <w:link w:val="a4"/>
    <w:uiPriority w:val="99"/>
    <w:semiHidden/>
    <w:rPr>
      <w:rFonts w:ascii="Times New Roman" w:hAnsi="Times New Roman"/>
      <w:sz w:val="18"/>
      <w:szCs w:val="18"/>
    </w:rPr>
  </w:style>
  <w:style w:type="character" w:customStyle="1" w:styleId="1">
    <w:name w:val="未处理的提及1"/>
    <w:basedOn w:val="a0"/>
    <w:uiPriority w:val="99"/>
    <w:unhideWhenUsed/>
    <w:rPr>
      <w:color w:val="605E5C"/>
      <w:shd w:val="clear" w:color="auto" w:fill="E1DFDD"/>
    </w:rPr>
  </w:style>
  <w:style w:type="paragraph" w:customStyle="1" w:styleId="10">
    <w:name w:val="列出段落1"/>
    <w:basedOn w:val="a"/>
    <w:uiPriority w:val="34"/>
    <w:qFormat/>
    <w:pPr>
      <w:ind w:firstLine="420"/>
    </w:pPr>
  </w:style>
  <w:style w:type="character" w:styleId="ad">
    <w:name w:val="annotation reference"/>
    <w:basedOn w:val="a0"/>
    <w:uiPriority w:val="99"/>
    <w:semiHidden/>
    <w:unhideWhenUsed/>
    <w:rsid w:val="002C126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C126B"/>
    <w:pPr>
      <w:spacing w:line="240" w:lineRule="auto"/>
    </w:pPr>
    <w:rPr>
      <w:sz w:val="20"/>
      <w:szCs w:val="20"/>
    </w:rPr>
  </w:style>
  <w:style w:type="character" w:customStyle="1" w:styleId="af">
    <w:name w:val="批注文字 字符"/>
    <w:basedOn w:val="a0"/>
    <w:link w:val="ae"/>
    <w:uiPriority w:val="99"/>
    <w:semiHidden/>
    <w:rsid w:val="002C126B"/>
    <w:rPr>
      <w:rFonts w:ascii="Times New Roman" w:hAnsi="Times New Roman"/>
      <w:kern w:val="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C126B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2C126B"/>
    <w:rPr>
      <w:rFonts w:ascii="Times New Roman" w:hAnsi="Times New Roman"/>
      <w:b/>
      <w:bCs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428</Words>
  <Characters>2445</Characters>
  <Application>Microsoft Office Word</Application>
  <DocSecurity>0</DocSecurity>
  <Lines>20</Lines>
  <Paragraphs>5</Paragraphs>
  <ScaleCrop>false</ScaleCrop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liuzhengzhi</dc:creator>
  <cp:lastModifiedBy>严辉</cp:lastModifiedBy>
  <cp:revision>5</cp:revision>
  <dcterms:created xsi:type="dcterms:W3CDTF">2021-08-25T02:50:00Z</dcterms:created>
  <dcterms:modified xsi:type="dcterms:W3CDTF">2021-08-26T01:14:00Z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1971436007034D75AE05C8EE1DB61658</vt:lpwstr>
  </property>
</Properties>
</file>