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C715A" w14:textId="77777777" w:rsidR="00C76DCD" w:rsidRPr="005A3181" w:rsidRDefault="00C76DCD" w:rsidP="00C76DCD">
      <w:pPr>
        <w:widowControl/>
        <w:adjustRightInd w:val="0"/>
        <w:spacing w:before="100" w:beforeAutospacing="1" w:after="100" w:afterAutospacing="1" w:line="48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A31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Supplementary Methods</w:t>
      </w:r>
    </w:p>
    <w:p w14:paraId="20655647" w14:textId="77777777" w:rsidR="00C76DCD" w:rsidRPr="005A3181" w:rsidRDefault="00C76DCD" w:rsidP="00C76DCD">
      <w:pPr>
        <w:widowControl/>
        <w:adjustRightInd w:val="0"/>
        <w:spacing w:line="48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5A318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Eligibility criteria</w:t>
      </w:r>
    </w:p>
    <w:p w14:paraId="33293DA4" w14:textId="27D3E748" w:rsidR="00C76DCD" w:rsidRPr="005A3181" w:rsidRDefault="00C76DCD" w:rsidP="00C83DBB">
      <w:pPr>
        <w:widowControl/>
        <w:adjustRightInd w:val="0"/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We included 1)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atients who had measurable disease </w:t>
      </w:r>
      <w:r w:rsidR="001528BB"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with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at least one of the following: a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serum M protein level was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≥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0.5 g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, b) 24-h urinary M prote</w:t>
      </w:r>
      <w:r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in level </w:t>
      </w:r>
      <w:r w:rsidRPr="003F5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≥ </w:t>
      </w:r>
      <w:r w:rsidRPr="003F5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200 mg, or c)</w:t>
      </w:r>
      <w:r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the involved </w:t>
      </w:r>
      <w:r w:rsidR="00F948BA"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FLC </w:t>
      </w:r>
      <w:r w:rsidR="00F948BA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level</w:t>
      </w:r>
      <w:r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3F5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≥ </w:t>
      </w:r>
      <w:r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10 mg/dL </w:t>
      </w:r>
      <w:r w:rsidR="003F5C63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provided</w:t>
      </w:r>
      <w:r w:rsidR="003F5C63"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F5C63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serum</w:t>
      </w:r>
      <w:r w:rsidR="003F5C63"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FLC </w:t>
      </w:r>
      <w:r w:rsidR="003F5C63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ratio</w:t>
      </w:r>
      <w:r w:rsidR="003F5C63"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F5C63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is</w:t>
      </w:r>
      <w:r w:rsidR="003F5C63"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3F5C63" w:rsidRPr="003F5C63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abnormal</w:t>
      </w:r>
      <w:r w:rsidRPr="003F5C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; 2) an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ECOG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performance score of</w:t>
      </w:r>
      <w:r w:rsidRPr="005A3181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to 2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3) life expectancy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≥ 3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months; 4)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 washout period of </w:t>
      </w:r>
      <w:r w:rsidRPr="005A31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≥ 14 days from the most recent therapy excluding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dexamethasone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; 5) patients wer</w:t>
      </w:r>
      <w:bookmarkStart w:id="0" w:name="_GoBack"/>
      <w:bookmarkEnd w:id="0"/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able to use antithrombotic agents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such as low molecular weight heparin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aspirin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. Other main inclusion criteria were 1) an absolute neutrophil count (ANC)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≥1.0×10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/L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including under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G-CSF support and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platelet count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≥ 50×10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/L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; 2)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total bilirubin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≤ 2.0 mg/dL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aspartate aminotransferase (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) and</w:t>
      </w:r>
      <w:r w:rsidRPr="005A318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aspartate aminotransferase (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AST) ≤ 3.0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times the upper limit of normal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3) </w:t>
      </w:r>
      <w:r w:rsidRPr="005A3181">
        <w:rPr>
          <w:rFonts w:ascii="Times New Roman" w:eastAsiaTheme="minorEastAsia" w:hAnsi="Times New Roman" w:cs="Times New Roman"/>
          <w:color w:val="000000" w:themeColor="text1"/>
          <w:spacing w:val="3"/>
          <w:sz w:val="24"/>
          <w:szCs w:val="24"/>
        </w:rPr>
        <w:t xml:space="preserve">serum creatinine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≤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3.0 mg/dL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A318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or</w:t>
      </w:r>
      <w:r w:rsidR="008853A7"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>calculated</w:t>
      </w:r>
      <w:r w:rsidRPr="005A318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pacing w:val="3"/>
          <w:sz w:val="24"/>
          <w:szCs w:val="24"/>
        </w:rPr>
        <w:t xml:space="preserve">creatinine clearance </w:t>
      </w:r>
      <w:r w:rsidR="008853A7" w:rsidRPr="005A3181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≥</w:t>
      </w:r>
      <w:r w:rsidR="008853A7" w:rsidRPr="005A3181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30 mL/min, and 4)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platelet count ≥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 ×10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/L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for whom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≥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50% of bone marrow nucleated cells were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plasma cells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5A3181">
        <w:rPr>
          <w:rFonts w:ascii="Times New Roman" w:eastAsia="宋体" w:hAnsi="Times New Roman" w:cs="Times New Roman"/>
          <w:color w:val="000000" w:themeColor="text1"/>
          <w:spacing w:val="-10"/>
          <w:sz w:val="24"/>
          <w:szCs w:val="24"/>
        </w:rPr>
        <w:t xml:space="preserve"> Patients were excluded if they</w:t>
      </w:r>
      <w:r w:rsidRPr="005A3181">
        <w:rPr>
          <w:rFonts w:ascii="Times New Roman" w:eastAsiaTheme="minorEastAsia" w:hAnsi="Times New Roman" w:cs="Times New Roman"/>
          <w:color w:val="000000" w:themeColor="text1"/>
          <w:spacing w:val="-10"/>
          <w:sz w:val="24"/>
          <w:szCs w:val="24"/>
        </w:rPr>
        <w:t xml:space="preserve"> were unable to tolerate </w:t>
      </w:r>
      <w:r w:rsidRPr="005A318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thalidomide, lenalidomide, pomalidomide or other drugs of the same class at the discretion of the investigators, or they had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known allergy to </w:t>
      </w:r>
      <w:r w:rsidRPr="005A31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pomalidomide or similar immune modulators and dexamethasone, or their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excipients. Non-secretory or oligo-secretory MM (involved </w:t>
      </w:r>
      <w:r w:rsidRPr="005A318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light chain </w:t>
      </w:r>
      <w:r w:rsidRPr="005A3181">
        <w:rPr>
          <w:rFonts w:ascii="Times New Roman" w:eastAsiaTheme="minorEastAsia" w:hAnsi="Times New Roman" w:cs="Times New Roman"/>
          <w:color w:val="000000" w:themeColor="text1"/>
          <w:spacing w:val="-1"/>
          <w:sz w:val="24"/>
          <w:szCs w:val="24"/>
        </w:rPr>
        <w:t>&lt;</w:t>
      </w:r>
      <w:r w:rsidRPr="005A318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100 mg/L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patients were also excluded. We further excluded patients with active </w:t>
      </w:r>
      <w:r w:rsidRPr="005A31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 novo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thrombosis or who declined anti-thrombosis therapy. Other exclusion criteria were 1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concurrent or previous malignancy excluding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basal cell carcinoma, cutaneous squamous cell carcinoma</w:t>
      </w:r>
      <w:r w:rsidRPr="005A31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,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cervical carcinoma </w:t>
      </w:r>
      <w:r w:rsidRPr="005A318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in situ</w:t>
      </w:r>
      <w:r w:rsidRPr="005A318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, breast carcinoma </w:t>
      </w:r>
      <w:r w:rsidRPr="005A3181">
        <w:rPr>
          <w:rFonts w:ascii="Times New Roman" w:hAnsi="Times New Roman" w:cs="Times New Roman"/>
          <w:i/>
          <w:iCs/>
          <w:color w:val="000000" w:themeColor="text1"/>
          <w:spacing w:val="-7"/>
          <w:sz w:val="24"/>
          <w:szCs w:val="24"/>
        </w:rPr>
        <w:t>in situ</w:t>
      </w:r>
      <w:r w:rsidRPr="005A318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,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TNM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T1a </w:t>
      </w:r>
      <w:r w:rsidRPr="005A3181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or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T1b prostate cancer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prostate cancer under treatment;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 receipt of anti-tumor therapy including major surgery within 4 weeks of the study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3) 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requiring long term immunosuppressants or steroid drugs;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4) known active hepatitis B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HBV DNA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≥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pacing w:val="9"/>
          <w:sz w:val="24"/>
          <w:szCs w:val="24"/>
        </w:rPr>
        <w:t>copies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/mL</w:t>
      </w:r>
      <w:r w:rsidRPr="005A318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) </w:t>
      </w:r>
      <w:r w:rsidRPr="005A3181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>or C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HCV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 positive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HIV serology; 5) concurrent severe infectious diseases; 6) contemplating pregnancy or failure to take reliable contraceptive measures; 7) NYHA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class</w:t>
      </w:r>
      <w:r w:rsidRPr="005A31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2 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lastRenderedPageBreak/>
        <w:t>or above,</w:t>
      </w:r>
      <w:r w:rsidRPr="005A318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myocardial infarction within the preceding year, or uncontrolled angina pectoris including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variant angina pectoris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8) central nervous system (CNS) disease requiring treatment and peripheral neuropathy grade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≥3; 9) receipt of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allogeneic stem cell transplantation</w:t>
      </w:r>
      <w:r w:rsidRPr="005A31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en-US"/>
        </w:rPr>
        <w:t xml:space="preserve"> within the preceding year, or </w:t>
      </w:r>
      <w:r w:rsidRPr="005A318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active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5A318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HD) </w:t>
      </w:r>
      <w:r w:rsidRPr="005A318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or 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5A318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HD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requiring immunosuppressant therapy if receipt of </w:t>
      </w:r>
      <w:r w:rsidRPr="005A3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allogeneic stem cell transplantation</w:t>
      </w:r>
      <w:r w:rsidRPr="005A318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for more than 1 year; 10) participation in other clinical trials within the preceding month.</w:t>
      </w:r>
      <w:r w:rsidRPr="005A31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Pregnant or lactating women were also excluded.</w:t>
      </w:r>
    </w:p>
    <w:sectPr w:rsidR="00C76DCD" w:rsidRPr="005A3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A67DD" w14:textId="77777777" w:rsidR="00F93DFB" w:rsidRDefault="00F93DFB" w:rsidP="00FF4C06">
      <w:r>
        <w:separator/>
      </w:r>
    </w:p>
  </w:endnote>
  <w:endnote w:type="continuationSeparator" w:id="0">
    <w:p w14:paraId="128C3F59" w14:textId="77777777" w:rsidR="00F93DFB" w:rsidRDefault="00F93DFB" w:rsidP="00FF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EDA91" w14:textId="77777777" w:rsidR="00F93DFB" w:rsidRDefault="00F93DFB" w:rsidP="00FF4C06">
      <w:r>
        <w:separator/>
      </w:r>
    </w:p>
  </w:footnote>
  <w:footnote w:type="continuationSeparator" w:id="0">
    <w:p w14:paraId="163DE8FE" w14:textId="77777777" w:rsidR="00F93DFB" w:rsidRDefault="00F93DFB" w:rsidP="00FF4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CD"/>
    <w:rsid w:val="000130E1"/>
    <w:rsid w:val="001528BB"/>
    <w:rsid w:val="003F5C63"/>
    <w:rsid w:val="00480D56"/>
    <w:rsid w:val="005A3181"/>
    <w:rsid w:val="008853A7"/>
    <w:rsid w:val="00C76DCD"/>
    <w:rsid w:val="00C83DBB"/>
    <w:rsid w:val="00EB2858"/>
    <w:rsid w:val="00EC499E"/>
    <w:rsid w:val="00F93DFB"/>
    <w:rsid w:val="00F948BA"/>
    <w:rsid w:val="00FB4965"/>
    <w:rsid w:val="00FF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0747B"/>
  <w15:chartTrackingRefBased/>
  <w15:docId w15:val="{10597BAC-D80E-5F49-870E-694EDDA2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CD"/>
    <w:pPr>
      <w:widowControl w:val="0"/>
      <w:autoSpaceDE w:val="0"/>
      <w:autoSpaceDN w:val="0"/>
    </w:pPr>
    <w:rPr>
      <w:rFonts w:ascii="Noto Sans CJK JP Black" w:eastAsia="Noto Sans CJK JP Black" w:hAnsi="Noto Sans CJK JP Black" w:cs="Noto Sans CJK JP Blac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C06"/>
    <w:rPr>
      <w:rFonts w:ascii="Noto Sans CJK JP Black" w:eastAsia="Noto Sans CJK JP Black" w:hAnsi="Noto Sans CJK JP Black" w:cs="Noto Sans CJK JP Black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C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C06"/>
    <w:rPr>
      <w:rFonts w:ascii="Noto Sans CJK JP Black" w:eastAsia="Noto Sans CJK JP Black" w:hAnsi="Noto Sans CJK JP Black" w:cs="Noto Sans CJK JP Black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C499E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EC499E"/>
  </w:style>
  <w:style w:type="character" w:customStyle="1" w:styleId="a9">
    <w:name w:val="批注文字 字符"/>
    <w:basedOn w:val="a0"/>
    <w:link w:val="a8"/>
    <w:uiPriority w:val="99"/>
    <w:semiHidden/>
    <w:rsid w:val="00EC499E"/>
    <w:rPr>
      <w:rFonts w:ascii="Noto Sans CJK JP Black" w:eastAsia="Noto Sans CJK JP Black" w:hAnsi="Noto Sans CJK JP Black" w:cs="Noto Sans CJK JP Black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C499E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C499E"/>
    <w:rPr>
      <w:rFonts w:ascii="Noto Sans CJK JP Black" w:eastAsia="Noto Sans CJK JP Black" w:hAnsi="Noto Sans CJK JP Black" w:cs="Noto Sans CJK JP Black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C499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C499E"/>
    <w:rPr>
      <w:rFonts w:ascii="Noto Sans CJK JP Black" w:eastAsia="Noto Sans CJK JP Black" w:hAnsi="Noto Sans CJK JP Black" w:cs="Noto Sans CJK JP Blac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Wang</dc:creator>
  <cp:keywords/>
  <dc:description/>
  <cp:lastModifiedBy>严辉</cp:lastModifiedBy>
  <cp:revision>11</cp:revision>
  <dcterms:created xsi:type="dcterms:W3CDTF">2021-06-29T15:21:00Z</dcterms:created>
  <dcterms:modified xsi:type="dcterms:W3CDTF">2021-09-10T09:46:00Z</dcterms:modified>
</cp:coreProperties>
</file>