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31FF" w:rsidRDefault="008D31FF" w:rsidP="008D31FF">
      <w:pPr>
        <w:spacing w:after="200" w:line="480" w:lineRule="auto"/>
        <w:rPr>
          <w:rFonts w:ascii="Calibri" w:hAnsi="Calibri" w:cs="Calibri"/>
          <w:b/>
          <w:noProof/>
          <w:lang w:val="en-US"/>
        </w:rPr>
      </w:pPr>
      <w:r>
        <w:rPr>
          <w:rFonts w:ascii="Calibri" w:hAnsi="Calibri" w:cs="Calibri"/>
          <w:b/>
          <w:noProof/>
          <w:lang w:val="en-US"/>
        </w:rPr>
        <w:t>APPENDIX 1</w:t>
      </w:r>
    </w:p>
    <w:p w:rsidR="008D31FF" w:rsidRDefault="008D31FF" w:rsidP="008D31FF">
      <w:pPr>
        <w:spacing w:after="200" w:line="480" w:lineRule="auto"/>
        <w:rPr>
          <w:rFonts w:ascii="Calibri" w:hAnsi="Calibri" w:cs="Calibri"/>
          <w:b/>
          <w:noProof/>
          <w:lang w:val="en-US"/>
        </w:rPr>
      </w:pPr>
      <w:r>
        <w:rPr>
          <w:rFonts w:ascii="Calibri" w:hAnsi="Calibri" w:cs="Calibri"/>
          <w:b/>
          <w:noProof/>
          <w:lang w:val="en-US"/>
        </w:rPr>
        <w:t>Types of IDD</w:t>
      </w:r>
    </w:p>
    <w:p w:rsidR="008D31FF" w:rsidRDefault="008D31FF" w:rsidP="008D31FF">
      <w:pPr>
        <w:spacing w:after="200" w:line="480" w:lineRule="auto"/>
        <w:jc w:val="both"/>
        <w:rPr>
          <w:rFonts w:ascii="Calibri" w:hAnsi="Calibri" w:cs="Calibri"/>
          <w:noProof/>
          <w:lang w:val="en-US"/>
        </w:rPr>
      </w:pPr>
      <w:r>
        <w:rPr>
          <w:rFonts w:ascii="Calibri" w:hAnsi="Calibri" w:cs="Calibri"/>
          <w:noProof/>
          <w:lang w:val="en-US"/>
        </w:rPr>
        <w:t xml:space="preserve">Four major types of IDD can be described: a) the causes that cannot or should not be used as underlying causes (impossible causes), b) the intermediate, c) the immediate and d) the unspecified causes </w:t>
      </w:r>
      <w:r>
        <w:rPr>
          <w:rFonts w:ascii="Calibri" w:hAnsi="Calibri" w:cs="Calibri"/>
          <w:noProof/>
          <w:lang w:val="en-US"/>
        </w:rPr>
        <w:fldChar w:fldCharType="begin"/>
      </w:r>
      <w:r>
        <w:rPr>
          <w:rFonts w:ascii="Calibri" w:hAnsi="Calibri" w:cs="Calibri"/>
          <w:noProof/>
          <w:lang w:val="en-US"/>
        </w:rPr>
        <w:instrText xml:space="preserve"> ADDIN EN.CITE &lt;EndNote&gt;&lt;Cite&gt;&lt;Author&gt;Naghavi&lt;/Author&gt;&lt;Year&gt;2010&lt;/Year&gt;&lt;RecNum&gt;227&lt;/RecNum&gt;&lt;DisplayText&gt;[10]&lt;/DisplayText&gt;&lt;record&gt;&lt;rec-number&gt;227&lt;/rec-number&gt;&lt;foreign-keys&gt;&lt;key app="EN" db-id="p5pav5rvlrpa2dersrppz0towvazwte2wv00" timestamp="1546962627"&gt;227&lt;/key&gt;&lt;/foreign-keys&gt;&lt;ref-type name="Journal Article"&gt;17&lt;/ref-type&gt;&lt;contributors&gt;&lt;authors&gt;&lt;author&gt;Naghavi, Mohsen&lt;/author&gt;&lt;author&gt;Makela, Susanna&lt;/author&gt;&lt;author&gt;Foreman, Kyle&lt;/author&gt;&lt;author&gt;O&amp;apos;Brien, Janaki&lt;/author&gt;&lt;author&gt;Pourmalek, Farshad&lt;/author&gt;&lt;author&gt;Lozano, Rafael&lt;/author&gt;&lt;/authors&gt;&lt;/contributors&gt;&lt;titles&gt;&lt;title&gt;Algorithms for enhancing public health utility of national causes-of-death data&lt;/title&gt;&lt;secondary-title&gt;Population Health Metrics&lt;/secondary-title&gt;&lt;/titles&gt;&lt;periodical&gt;&lt;full-title&gt;Population Health Metrics&lt;/full-title&gt;&lt;/periodical&gt;&lt;pages&gt;9&lt;/pages&gt;&lt;volume&gt;8&lt;/volume&gt;&lt;number&gt;1&lt;/number&gt;&lt;dates&gt;&lt;year&gt;2010&lt;/year&gt;&lt;pub-dates&gt;&lt;date&gt;May 10&lt;/date&gt;&lt;/pub-dates&gt;&lt;/dates&gt;&lt;isbn&gt;1478-7954&lt;/isbn&gt;&lt;label&gt;Naghavi2010&lt;/label&gt;&lt;work-type&gt;journal article&lt;/work-type&gt;&lt;urls&gt;&lt;related-urls&gt;&lt;url&gt;https://doi.org/10.1186/1478-7954-8-9&lt;/url&gt;&lt;/related-urls&gt;&lt;/urls&gt;&lt;electronic-resource-num&gt;10.1186/1478-7954-8-9&lt;/electronic-resource-num&gt;&lt;/record&gt;&lt;/Cite&gt;&lt;/EndNote&gt;</w:instrText>
      </w:r>
      <w:r>
        <w:rPr>
          <w:rFonts w:ascii="Calibri" w:hAnsi="Calibri" w:cs="Calibri"/>
          <w:noProof/>
          <w:lang w:val="en-US"/>
        </w:rPr>
        <w:fldChar w:fldCharType="separate"/>
      </w:r>
      <w:r>
        <w:rPr>
          <w:rFonts w:ascii="Calibri" w:hAnsi="Calibri" w:cs="Calibri"/>
          <w:noProof/>
          <w:lang w:val="en-US"/>
        </w:rPr>
        <w:t>[10]</w:t>
      </w:r>
      <w:r>
        <w:rPr>
          <w:rFonts w:ascii="Calibri" w:hAnsi="Calibri" w:cs="Calibri"/>
          <w:noProof/>
          <w:lang w:val="en-US"/>
        </w:rPr>
        <w:fldChar w:fldCharType="end"/>
      </w:r>
      <w:r>
        <w:rPr>
          <w:rFonts w:ascii="Calibri" w:hAnsi="Calibri" w:cs="Calibri"/>
          <w:noProof/>
          <w:lang w:val="en-US"/>
        </w:rPr>
        <w:t xml:space="preserve">. </w:t>
      </w:r>
    </w:p>
    <w:p w:rsidR="008D31FF" w:rsidRDefault="008D31FF" w:rsidP="008D31FF">
      <w:pPr>
        <w:spacing w:after="200" w:line="480" w:lineRule="auto"/>
        <w:jc w:val="both"/>
        <w:rPr>
          <w:rFonts w:ascii="Calibri" w:hAnsi="Calibri" w:cs="Calibri"/>
          <w:noProof/>
          <w:lang w:val="en-US"/>
        </w:rPr>
      </w:pPr>
      <w:r>
        <w:rPr>
          <w:rFonts w:ascii="Calibri" w:hAnsi="Calibri" w:cs="Calibri"/>
          <w:noProof/>
          <w:lang w:val="en-US"/>
        </w:rPr>
        <w:t xml:space="preserve">The major part of IDD can be classified as (a) impossible CoD. This group comprises codes associated with morbidity but without the possibility of fatal outcomes. Examples are W50 Vitamin A deficiency or H10 - Conjunctivitis. Another grouping of impossible causes are R-codes which cover signs and symptoms but not directly a specific disease or injury and thus are not qualified to capture an underlying CoD. Examples for this group are R22.1 Localized swelling, mass and lump, neck or R53 Malaise and fatigue. Furthermore, implausible combinations of conditions with sex- or age information must be corrected. </w:t>
      </w:r>
    </w:p>
    <w:p w:rsidR="008D31FF" w:rsidRDefault="008D31FF" w:rsidP="008D31FF">
      <w:pPr>
        <w:spacing w:after="200" w:line="480" w:lineRule="auto"/>
        <w:jc w:val="both"/>
        <w:rPr>
          <w:rFonts w:ascii="Calibri" w:hAnsi="Calibri" w:cs="Calibri"/>
          <w:noProof/>
          <w:lang w:val="en-US"/>
        </w:rPr>
      </w:pPr>
      <w:r>
        <w:rPr>
          <w:rFonts w:ascii="Calibri" w:hAnsi="Calibri" w:cs="Calibri"/>
          <w:noProof/>
          <w:lang w:val="en-US"/>
        </w:rPr>
        <w:t xml:space="preserve">Beside the impossible causes also (b) intermediate or (c) immediate causes which follow the actual underlying cause on the pathway of events leading to death are classified as IDD. Intermediate causes, such as heart failure, are clearly defined clinical entities that have always a precipitating event, which is the underlying CoD </w:t>
      </w:r>
      <w:r>
        <w:rPr>
          <w:rFonts w:ascii="Calibri" w:hAnsi="Calibri" w:cs="Calibri"/>
          <w:noProof/>
          <w:lang w:val="en-US"/>
        </w:rPr>
        <w:fldChar w:fldCharType="begin"/>
      </w:r>
      <w:r>
        <w:rPr>
          <w:rFonts w:ascii="Calibri" w:hAnsi="Calibri" w:cs="Calibri"/>
          <w:noProof/>
          <w:lang w:val="en-US"/>
        </w:rPr>
        <w:instrText xml:space="preserve"> ADDIN EN.CITE &lt;EndNote&gt;&lt;Cite&gt;&lt;Author&gt;Naghavi&lt;/Author&gt;&lt;Year&gt;2010&lt;/Year&gt;&lt;RecNum&gt;227&lt;/RecNum&gt;&lt;DisplayText&gt;[10]&lt;/DisplayText&gt;&lt;record&gt;&lt;rec-number&gt;227&lt;/rec-number&gt;&lt;foreign-keys&gt;&lt;key app="EN" db-id="p5pav5rvlrpa2dersrppz0towvazwte2wv00" timestamp="1546962627"&gt;227&lt;/key&gt;&lt;/foreign-keys&gt;&lt;ref-type name="Journal Article"&gt;17&lt;/ref-type&gt;&lt;contributors&gt;&lt;authors&gt;&lt;author&gt;Naghavi, Mohsen&lt;/author&gt;&lt;author&gt;Makela, Susanna&lt;/author&gt;&lt;author&gt;Foreman, Kyle&lt;/author&gt;&lt;author&gt;O&amp;apos;Brien, Janaki&lt;/author&gt;&lt;author&gt;Pourmalek, Farshad&lt;/author&gt;&lt;author&gt;Lozano, Rafael&lt;/author&gt;&lt;/authors&gt;&lt;/contributors&gt;&lt;titles&gt;&lt;title&gt;Algorithms for enhancing public health utility of national causes-of-death data&lt;/title&gt;&lt;secondary-title&gt;Population Health Metrics&lt;/secondary-title&gt;&lt;/titles&gt;&lt;periodical&gt;&lt;full-title&gt;Population Health Metrics&lt;/full-title&gt;&lt;/periodical&gt;&lt;pages&gt;9&lt;/pages&gt;&lt;volume&gt;8&lt;/volume&gt;&lt;number&gt;1&lt;/number&gt;&lt;dates&gt;&lt;year&gt;2010&lt;/year&gt;&lt;pub-dates&gt;&lt;date&gt;May 10&lt;/date&gt;&lt;/pub-dates&gt;&lt;/dates&gt;&lt;isbn&gt;1478-7954&lt;/isbn&gt;&lt;label&gt;Naghavi2010&lt;/label&gt;&lt;work-type&gt;journal article&lt;/work-type&gt;&lt;urls&gt;&lt;related-urls&gt;&lt;url&gt;https://doi.org/10.1186/1478-7954-8-9&lt;/url&gt;&lt;/related-urls&gt;&lt;/urls&gt;&lt;electronic-resource-num&gt;10.1186/1478-7954-8-9&lt;/electronic-resource-num&gt;&lt;/record&gt;&lt;/Cite&gt;&lt;/EndNote&gt;</w:instrText>
      </w:r>
      <w:r>
        <w:rPr>
          <w:rFonts w:ascii="Calibri" w:hAnsi="Calibri" w:cs="Calibri"/>
          <w:noProof/>
          <w:lang w:val="en-US"/>
        </w:rPr>
        <w:fldChar w:fldCharType="separate"/>
      </w:r>
      <w:r>
        <w:rPr>
          <w:rFonts w:ascii="Calibri" w:hAnsi="Calibri" w:cs="Calibri"/>
          <w:noProof/>
          <w:lang w:val="en-US"/>
        </w:rPr>
        <w:t>[10]</w:t>
      </w:r>
      <w:r>
        <w:rPr>
          <w:rFonts w:ascii="Calibri" w:hAnsi="Calibri" w:cs="Calibri"/>
          <w:noProof/>
          <w:lang w:val="en-US"/>
        </w:rPr>
        <w:fldChar w:fldCharType="end"/>
      </w:r>
      <w:r>
        <w:rPr>
          <w:rFonts w:ascii="Calibri" w:hAnsi="Calibri" w:cs="Calibri"/>
          <w:noProof/>
          <w:lang w:val="en-US"/>
        </w:rPr>
        <w:t xml:space="preserve">. Immediate CoD are the final steps in the chain of events leading to death. Disseminated intravascular coagulation [defibrination syndrome] (D65) is one example of this type of IDD </w:t>
      </w:r>
      <w:r>
        <w:rPr>
          <w:rFonts w:ascii="Calibri" w:hAnsi="Calibri" w:cs="Calibri"/>
          <w:noProof/>
          <w:lang w:val="en-US"/>
        </w:rPr>
        <w:fldChar w:fldCharType="begin"/>
      </w:r>
      <w:r>
        <w:rPr>
          <w:rFonts w:ascii="Calibri" w:hAnsi="Calibri" w:cs="Calibri"/>
          <w:noProof/>
          <w:lang w:val="en-US"/>
        </w:rPr>
        <w:instrText xml:space="preserve"> ADDIN EN.CITE &lt;EndNote&gt;&lt;Cite&gt;&lt;Author&gt;Naghavi&lt;/Author&gt;&lt;Year&gt;2010&lt;/Year&gt;&lt;RecNum&gt;227&lt;/RecNum&gt;&lt;DisplayText&gt;[10]&lt;/DisplayText&gt;&lt;record&gt;&lt;rec-number&gt;227&lt;/rec-number&gt;&lt;foreign-keys&gt;&lt;key app="EN" db-id="p5pav5rvlrpa2dersrppz0towvazwte2wv00" timestamp="1546962627"&gt;227&lt;/key&gt;&lt;/foreign-keys&gt;&lt;ref-type name="Journal Article"&gt;17&lt;/ref-type&gt;&lt;contributors&gt;&lt;authors&gt;&lt;author&gt;Naghavi, Mohsen&lt;/author&gt;&lt;author&gt;Makela, Susanna&lt;/author&gt;&lt;author&gt;Foreman, Kyle&lt;/author&gt;&lt;author&gt;O&amp;apos;Brien, Janaki&lt;/author&gt;&lt;author&gt;Pourmalek, Farshad&lt;/author&gt;&lt;author&gt;Lozano, Rafael&lt;/author&gt;&lt;/authors&gt;&lt;/contributors&gt;&lt;titles&gt;&lt;title&gt;Algorithms for enhancing public health utility of national causes-of-death data&lt;/title&gt;&lt;secondary-title&gt;Population Health Metrics&lt;/secondary-title&gt;&lt;/titles&gt;&lt;periodical&gt;&lt;full-title&gt;Population Health Metrics&lt;/full-title&gt;&lt;/periodical&gt;&lt;pages&gt;9&lt;/pages&gt;&lt;volume&gt;8&lt;/volume&gt;&lt;number&gt;1&lt;/number&gt;&lt;dates&gt;&lt;year&gt;2010&lt;/year&gt;&lt;pub-dates&gt;&lt;date&gt;May 10&lt;/date&gt;&lt;/pub-dates&gt;&lt;/dates&gt;&lt;isbn&gt;1478-7954&lt;/isbn&gt;&lt;label&gt;Naghavi2010&lt;/label&gt;&lt;work-type&gt;journal article&lt;/work-type&gt;&lt;urls&gt;&lt;related-urls&gt;&lt;url&gt;https://doi.org/10.1186/1478-7954-8-9&lt;/url&gt;&lt;/related-urls&gt;&lt;/urls&gt;&lt;electronic-resource-num&gt;10.1186/1478-7954-8-9&lt;/electronic-resource-num&gt;&lt;/record&gt;&lt;/Cite&gt;&lt;/EndNote&gt;</w:instrText>
      </w:r>
      <w:r>
        <w:rPr>
          <w:rFonts w:ascii="Calibri" w:hAnsi="Calibri" w:cs="Calibri"/>
          <w:noProof/>
          <w:lang w:val="en-US"/>
        </w:rPr>
        <w:fldChar w:fldCharType="separate"/>
      </w:r>
      <w:r>
        <w:rPr>
          <w:rFonts w:ascii="Calibri" w:hAnsi="Calibri" w:cs="Calibri"/>
          <w:noProof/>
          <w:lang w:val="en-US"/>
        </w:rPr>
        <w:t>[10]</w:t>
      </w:r>
      <w:r>
        <w:rPr>
          <w:rFonts w:ascii="Calibri" w:hAnsi="Calibri" w:cs="Calibri"/>
          <w:noProof/>
          <w:lang w:val="en-US"/>
        </w:rPr>
        <w:fldChar w:fldCharType="end"/>
      </w:r>
      <w:r>
        <w:rPr>
          <w:rFonts w:ascii="Calibri" w:hAnsi="Calibri" w:cs="Calibri"/>
          <w:noProof/>
          <w:lang w:val="en-US"/>
        </w:rPr>
        <w:t xml:space="preserve">). </w:t>
      </w:r>
    </w:p>
    <w:p w:rsidR="008D31FF" w:rsidRDefault="008D31FF" w:rsidP="008D31FF">
      <w:pPr>
        <w:spacing w:after="200" w:line="480" w:lineRule="auto"/>
        <w:jc w:val="both"/>
        <w:rPr>
          <w:rFonts w:ascii="Calibri" w:hAnsi="Calibri" w:cs="Calibri"/>
          <w:noProof/>
          <w:lang w:val="en-US"/>
        </w:rPr>
      </w:pPr>
      <w:r>
        <w:rPr>
          <w:rFonts w:ascii="Calibri" w:hAnsi="Calibri" w:cs="Calibri"/>
          <w:noProof/>
          <w:lang w:val="en-US"/>
        </w:rPr>
        <w:t>Finally, (d) causes not clearly coded or classified are considered IDD within the GBD. The names of those codes typically include terms such as unspecified, other or with undetermined intent. The last one only applies to the category of injuries. Examples of this category are Y21 – Drowning and submersion, undetermined intent or C74.9 Endocrine gland, unspecified among the category malignant neoplasms.</w:t>
      </w:r>
    </w:p>
    <w:p w:rsidR="008D31FF" w:rsidRDefault="008D31FF" w:rsidP="008D31FF">
      <w:pPr>
        <w:rPr>
          <w:rFonts w:ascii="Calibri" w:hAnsi="Calibri" w:cs="Calibri"/>
          <w:noProof/>
          <w:lang w:val="en-US"/>
        </w:rPr>
        <w:sectPr w:rsidR="008D31FF">
          <w:pgSz w:w="11900" w:h="16840"/>
          <w:pgMar w:top="1418" w:right="1417" w:bottom="1134" w:left="1417" w:header="709" w:footer="709" w:gutter="0"/>
          <w:lnNumType w:countBy="1" w:restart="continuous"/>
          <w:cols w:space="708"/>
          <w:docGrid w:linePitch="360"/>
        </w:sectPr>
      </w:pPr>
    </w:p>
    <w:p w:rsidR="008D31FF" w:rsidRDefault="008D31FF" w:rsidP="008D31FF">
      <w:pPr>
        <w:rPr>
          <w:rFonts w:ascii="Calibri" w:hAnsi="Calibri" w:cs="Calibri"/>
          <w:b/>
          <w:noProof/>
          <w:lang w:val="en-US"/>
        </w:rPr>
      </w:pPr>
      <w:r>
        <w:rPr>
          <w:rFonts w:ascii="Calibri" w:hAnsi="Calibri" w:cs="Calibri"/>
          <w:b/>
          <w:noProof/>
          <w:lang w:val="en-US"/>
        </w:rPr>
        <w:lastRenderedPageBreak/>
        <w:t>APPENDIX 2</w:t>
      </w:r>
    </w:p>
    <w:p w:rsidR="008D31FF" w:rsidRDefault="008D31FF" w:rsidP="008D31FF">
      <w:pPr>
        <w:rPr>
          <w:rFonts w:ascii="Calibri" w:hAnsi="Calibri" w:cs="Calibri"/>
          <w:b/>
          <w:noProof/>
          <w:lang w:val="en-US"/>
        </w:rPr>
      </w:pPr>
      <w:r>
        <w:rPr>
          <w:rFonts w:ascii="Calibri" w:hAnsi="Calibri" w:cs="Calibri"/>
          <w:b/>
          <w:noProof/>
          <w:lang w:val="en-US"/>
        </w:rPr>
        <w:t>Table A1</w:t>
      </w:r>
      <w:r>
        <w:rPr>
          <w:rFonts w:ascii="Calibri" w:hAnsi="Calibri" w:cs="Calibri"/>
          <w:b/>
          <w:noProof/>
          <w:lang w:val="en-US"/>
        </w:rPr>
        <w:tab/>
        <w:t>Mapping level 1 to 3 (Source IHME/GBD 2019, own depiction)</w:t>
      </w:r>
    </w:p>
    <w:tbl>
      <w:tblPr>
        <w:tblW w:w="9011" w:type="dxa"/>
        <w:tblInd w:w="55" w:type="dxa"/>
        <w:tblCellMar>
          <w:left w:w="0" w:type="dxa"/>
          <w:right w:w="0" w:type="dxa"/>
        </w:tblCellMar>
        <w:tblLook w:val="04A0" w:firstRow="1" w:lastRow="0" w:firstColumn="1" w:lastColumn="0" w:noHBand="0" w:noVBand="1"/>
      </w:tblPr>
      <w:tblGrid>
        <w:gridCol w:w="843"/>
        <w:gridCol w:w="2944"/>
        <w:gridCol w:w="5272"/>
      </w:tblGrid>
      <w:tr w:rsidR="008D31FF" w:rsidTr="00AF5DA3">
        <w:trPr>
          <w:trHeight w:val="70"/>
        </w:trPr>
        <w:tc>
          <w:tcPr>
            <w:tcW w:w="827" w:type="dxa"/>
            <w:tcBorders>
              <w:top w:val="nil"/>
              <w:left w:val="nil"/>
              <w:bottom w:val="nil"/>
              <w:right w:val="nil"/>
            </w:tcBorders>
            <w:shd w:val="clear" w:color="auto" w:fill="FFFFFF" w:themeFill="background1"/>
            <w:noWrap/>
            <w:vAlign w:val="center"/>
            <w:hideMark/>
          </w:tcPr>
          <w:p w:rsidR="008D31FF" w:rsidRDefault="008D31FF" w:rsidP="00AF5DA3">
            <w:pPr>
              <w:spacing w:line="240" w:lineRule="auto"/>
              <w:rPr>
                <w:rFonts w:ascii="Calibri" w:hAnsi="Calibri" w:cs="Calibri"/>
                <w:b/>
                <w:bCs/>
                <w:color w:val="000000"/>
                <w:sz w:val="20"/>
                <w:szCs w:val="22"/>
                <w:lang w:val="en-US"/>
              </w:rPr>
            </w:pPr>
            <w:r>
              <w:rPr>
                <w:rFonts w:ascii="Calibri" w:hAnsi="Calibri" w:cs="Calibri"/>
                <w:b/>
                <w:bCs/>
                <w:color w:val="000000"/>
                <w:sz w:val="20"/>
                <w:szCs w:val="22"/>
                <w:lang w:val="en-US"/>
              </w:rPr>
              <w:t>Level 1</w:t>
            </w:r>
          </w:p>
        </w:tc>
        <w:tc>
          <w:tcPr>
            <w:tcW w:w="2928"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b/>
                <w:bCs/>
                <w:color w:val="000000"/>
                <w:sz w:val="20"/>
                <w:szCs w:val="22"/>
                <w:lang w:val="en-US"/>
              </w:rPr>
            </w:pPr>
            <w:r>
              <w:rPr>
                <w:rFonts w:ascii="Calibri" w:hAnsi="Calibri" w:cs="Calibri"/>
                <w:b/>
                <w:bCs/>
                <w:color w:val="000000"/>
                <w:sz w:val="20"/>
                <w:szCs w:val="22"/>
                <w:lang w:val="en-US"/>
              </w:rPr>
              <w:t>Level 2</w:t>
            </w: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b/>
                <w:bCs/>
                <w:color w:val="000000"/>
                <w:sz w:val="20"/>
                <w:szCs w:val="22"/>
                <w:lang w:val="en-US"/>
              </w:rPr>
            </w:pPr>
            <w:r>
              <w:rPr>
                <w:rFonts w:ascii="Calibri" w:hAnsi="Calibri" w:cs="Calibri"/>
                <w:b/>
                <w:bCs/>
                <w:color w:val="000000"/>
                <w:sz w:val="20"/>
                <w:szCs w:val="22"/>
                <w:lang w:val="en-US"/>
              </w:rPr>
              <w:t>Level 3</w:t>
            </w:r>
          </w:p>
        </w:tc>
      </w:tr>
      <w:tr w:rsidR="008D31FF" w:rsidTr="00AF5DA3">
        <w:trPr>
          <w:cantSplit/>
          <w:trHeight w:val="20"/>
        </w:trPr>
        <w:tc>
          <w:tcPr>
            <w:tcW w:w="827" w:type="dxa"/>
            <w:vMerge w:val="restart"/>
            <w:tcBorders>
              <w:top w:val="single" w:sz="4" w:space="0" w:color="auto"/>
              <w:left w:val="nil"/>
              <w:bottom w:val="single" w:sz="4" w:space="0" w:color="000000"/>
              <w:right w:val="nil"/>
            </w:tcBorders>
            <w:shd w:val="clear" w:color="auto" w:fill="FFFFFF" w:themeFill="background1"/>
            <w:textDirection w:val="btLr"/>
            <w:vAlign w:val="center"/>
            <w:hideMark/>
          </w:tcPr>
          <w:p w:rsidR="008D31FF" w:rsidRDefault="008D31FF" w:rsidP="00AF5DA3">
            <w:pPr>
              <w:spacing w:line="240" w:lineRule="auto"/>
              <w:jc w:val="center"/>
              <w:rPr>
                <w:rFonts w:ascii="Calibri" w:hAnsi="Calibri" w:cs="Calibri"/>
                <w:b/>
                <w:color w:val="000000"/>
                <w:sz w:val="20"/>
                <w:szCs w:val="22"/>
                <w:lang w:val="en-US"/>
              </w:rPr>
            </w:pPr>
            <w:r>
              <w:rPr>
                <w:rFonts w:ascii="Calibri" w:hAnsi="Calibri" w:cs="Calibri"/>
                <w:b/>
                <w:color w:val="000000"/>
                <w:sz w:val="20"/>
                <w:szCs w:val="22"/>
                <w:lang w:val="en-US"/>
              </w:rPr>
              <w:t>Communicable, maternal, neonatal, and nutritional diseases</w:t>
            </w:r>
          </w:p>
        </w:tc>
        <w:tc>
          <w:tcPr>
            <w:tcW w:w="2928" w:type="dxa"/>
            <w:vMerge w:val="restart"/>
            <w:tcBorders>
              <w:top w:val="single" w:sz="4" w:space="0" w:color="auto"/>
              <w:left w:val="nil"/>
              <w:bottom w:val="nil"/>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Enteric infections</w:t>
            </w:r>
          </w:p>
        </w:tc>
        <w:tc>
          <w:tcPr>
            <w:tcW w:w="5256" w:type="dxa"/>
            <w:tcBorders>
              <w:top w:val="single" w:sz="4" w:space="0" w:color="auto"/>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Diarrheal diseases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tcBorders>
              <w:top w:val="single" w:sz="4" w:space="0" w:color="auto"/>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Invasive Non-typhoidal Salmonella (iNTS)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lang w:val="en-US"/>
              </w:rPr>
            </w:pPr>
          </w:p>
        </w:tc>
        <w:tc>
          <w:tcPr>
            <w:tcW w:w="2928" w:type="dxa"/>
            <w:vMerge/>
            <w:tcBorders>
              <w:top w:val="single" w:sz="4" w:space="0" w:color="auto"/>
              <w:left w:val="nil"/>
              <w:bottom w:val="nil"/>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intestinal infectious diseases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tcBorders>
              <w:top w:val="single" w:sz="4" w:space="0" w:color="auto"/>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Typhoid and paratyphoid</w:t>
            </w:r>
          </w:p>
        </w:tc>
      </w:tr>
      <w:tr w:rsidR="008D31FF" w:rsidTr="00AF5DA3">
        <w:trPr>
          <w:cantSplit/>
          <w:trHeight w:val="85"/>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val="restart"/>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HIV/AIDS and sexually transmitted infections</w:t>
            </w:r>
          </w:p>
        </w:tc>
        <w:tc>
          <w:tcPr>
            <w:tcW w:w="5256" w:type="dxa"/>
            <w:tcBorders>
              <w:top w:val="single" w:sz="4" w:space="0" w:color="auto"/>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HIV/AIDS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lang w:val="en-US"/>
              </w:rPr>
            </w:pPr>
          </w:p>
        </w:tc>
        <w:tc>
          <w:tcPr>
            <w:tcW w:w="2928"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5256" w:type="dxa"/>
            <w:tcBorders>
              <w:top w:val="nil"/>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Sexually transmitted infections excluding HIV</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lang w:val="en-US"/>
              </w:rPr>
            </w:pPr>
          </w:p>
        </w:tc>
        <w:tc>
          <w:tcPr>
            <w:tcW w:w="2928" w:type="dxa"/>
            <w:vMerge w:val="restart"/>
            <w:tcBorders>
              <w:top w:val="nil"/>
              <w:left w:val="nil"/>
              <w:bottom w:val="nil"/>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Maternal and neonatal disorders</w:t>
            </w: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Neonatal disorders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Maternal disorders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val="restart"/>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Neglected tropical diseases and malaria</w:t>
            </w:r>
          </w:p>
        </w:tc>
        <w:tc>
          <w:tcPr>
            <w:tcW w:w="5256" w:type="dxa"/>
            <w:tcBorders>
              <w:top w:val="single" w:sz="4" w:space="0" w:color="auto"/>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neglected tropical diseases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Cystic echinococcosis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lang w:val="en-US"/>
              </w:rPr>
            </w:pPr>
          </w:p>
        </w:tc>
        <w:tc>
          <w:tcPr>
            <w:tcW w:w="2928"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Malaria</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Chagas disease</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56" w:type="dxa"/>
            <w:tcBorders>
              <w:top w:val="nil"/>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Schistosomiasis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val="restart"/>
            <w:tcBorders>
              <w:top w:val="nil"/>
              <w:left w:val="nil"/>
              <w:bottom w:val="nil"/>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Nutritional deficiencies</w:t>
            </w: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Protein-energy malnutrition</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lang w:val="en-US"/>
              </w:rPr>
            </w:pPr>
          </w:p>
        </w:tc>
        <w:tc>
          <w:tcPr>
            <w:tcW w:w="2928"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nutritional deficiencies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Dietary iron deficiency</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val="restart"/>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infectious diseases</w:t>
            </w:r>
          </w:p>
        </w:tc>
        <w:tc>
          <w:tcPr>
            <w:tcW w:w="5256" w:type="dxa"/>
            <w:tcBorders>
              <w:top w:val="single" w:sz="4" w:space="0" w:color="auto"/>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unspecified infectious diseases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Encephalitis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Meningitis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Varicella and herpes zoster</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Acute hepatitis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lang w:val="en-US"/>
              </w:rPr>
            </w:pPr>
          </w:p>
        </w:tc>
        <w:tc>
          <w:tcPr>
            <w:tcW w:w="2928"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Whooping cough</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lang w:val="en-US"/>
              </w:rPr>
            </w:pPr>
          </w:p>
        </w:tc>
        <w:tc>
          <w:tcPr>
            <w:tcW w:w="2928"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Measles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56" w:type="dxa"/>
            <w:tcBorders>
              <w:top w:val="nil"/>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Rubella</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val="restart"/>
            <w:tcBorders>
              <w:top w:val="nil"/>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Respiratory infections and tuberculosis</w:t>
            </w: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Lower respiratory infections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tcBorders>
              <w:top w:val="nil"/>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Tuberculosis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tcBorders>
              <w:top w:val="nil"/>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56"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Upper respiratory infections</w:t>
            </w:r>
          </w:p>
        </w:tc>
      </w:tr>
      <w:tr w:rsidR="008D31FF" w:rsidTr="00AF5DA3">
        <w:trPr>
          <w:cantSplit/>
          <w:trHeight w:val="20"/>
        </w:trPr>
        <w:tc>
          <w:tcPr>
            <w:tcW w:w="827" w:type="dxa"/>
            <w:vMerge/>
            <w:tcBorders>
              <w:top w:val="single" w:sz="4" w:space="0" w:color="auto"/>
              <w:left w:val="nil"/>
              <w:bottom w:val="single" w:sz="4" w:space="0" w:color="000000"/>
              <w:right w:val="nil"/>
            </w:tcBorders>
            <w:shd w:val="clear" w:color="auto" w:fill="FFFFFF" w:themeFill="background1"/>
            <w:vAlign w:val="center"/>
            <w:hideMark/>
          </w:tcPr>
          <w:p w:rsidR="008D31FF" w:rsidRDefault="008D31FF" w:rsidP="00AF5DA3">
            <w:pPr>
              <w:spacing w:line="240" w:lineRule="auto"/>
              <w:rPr>
                <w:rFonts w:ascii="Calibri" w:hAnsi="Calibri" w:cs="Calibri"/>
                <w:b/>
                <w:color w:val="000000"/>
                <w:sz w:val="20"/>
                <w:szCs w:val="22"/>
              </w:rPr>
            </w:pPr>
          </w:p>
        </w:tc>
        <w:tc>
          <w:tcPr>
            <w:tcW w:w="2928" w:type="dxa"/>
            <w:vMerge/>
            <w:tcBorders>
              <w:top w:val="nil"/>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56" w:type="dxa"/>
            <w:tcBorders>
              <w:top w:val="nil"/>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Otitis media</w:t>
            </w:r>
          </w:p>
        </w:tc>
      </w:tr>
    </w:tbl>
    <w:p w:rsidR="008D31FF" w:rsidRDefault="008D31FF" w:rsidP="008D31FF">
      <w:pPr>
        <w:spacing w:line="240" w:lineRule="auto"/>
        <w:rPr>
          <w:rFonts w:ascii="Calibri" w:hAnsi="Calibri" w:cs="Calibri"/>
          <w:b/>
          <w:noProof/>
          <w:lang w:val="en-US"/>
        </w:rPr>
      </w:pPr>
    </w:p>
    <w:p w:rsidR="008D31FF" w:rsidRDefault="008D31FF" w:rsidP="008D31FF">
      <w:pPr>
        <w:spacing w:line="240" w:lineRule="auto"/>
        <w:rPr>
          <w:rFonts w:ascii="Calibri" w:hAnsi="Calibri" w:cs="Calibri"/>
          <w:b/>
          <w:noProof/>
          <w:lang w:val="en-US"/>
        </w:rPr>
      </w:pPr>
      <w:r>
        <w:rPr>
          <w:rFonts w:ascii="Calibri" w:hAnsi="Calibri" w:cs="Calibri"/>
          <w:b/>
          <w:noProof/>
          <w:lang w:val="en-US"/>
        </w:rPr>
        <w:br w:type="page"/>
      </w:r>
    </w:p>
    <w:tbl>
      <w:tblPr>
        <w:tblW w:w="9443" w:type="dxa"/>
        <w:tblInd w:w="55" w:type="dxa"/>
        <w:tblCellMar>
          <w:left w:w="0" w:type="dxa"/>
          <w:right w:w="0" w:type="dxa"/>
        </w:tblCellMar>
        <w:tblLook w:val="04A0" w:firstRow="1" w:lastRow="0" w:firstColumn="1" w:lastColumn="0" w:noHBand="0" w:noVBand="1"/>
      </w:tblPr>
      <w:tblGrid>
        <w:gridCol w:w="734"/>
        <w:gridCol w:w="1827"/>
        <w:gridCol w:w="3386"/>
        <w:gridCol w:w="3496"/>
      </w:tblGrid>
      <w:tr w:rsidR="008D31FF" w:rsidTr="00AF5DA3">
        <w:trPr>
          <w:trHeight w:val="70"/>
        </w:trPr>
        <w:tc>
          <w:tcPr>
            <w:tcW w:w="718"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b/>
                <w:bCs/>
                <w:color w:val="000000"/>
                <w:sz w:val="20"/>
                <w:szCs w:val="22"/>
                <w:lang w:val="en-US"/>
              </w:rPr>
            </w:pPr>
            <w:r>
              <w:rPr>
                <w:rFonts w:ascii="Calibri" w:hAnsi="Calibri" w:cs="Calibri"/>
                <w:b/>
                <w:bCs/>
                <w:color w:val="000000"/>
                <w:sz w:val="20"/>
                <w:szCs w:val="22"/>
                <w:lang w:val="en-US"/>
              </w:rPr>
              <w:lastRenderedPageBreak/>
              <w:t>Level 1</w:t>
            </w:r>
          </w:p>
        </w:tc>
        <w:tc>
          <w:tcPr>
            <w:tcW w:w="1811"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b/>
                <w:bCs/>
                <w:color w:val="000000"/>
                <w:sz w:val="20"/>
                <w:szCs w:val="22"/>
                <w:lang w:val="en-US"/>
              </w:rPr>
            </w:pPr>
            <w:r>
              <w:rPr>
                <w:rFonts w:ascii="Calibri" w:hAnsi="Calibri" w:cs="Calibri"/>
                <w:b/>
                <w:bCs/>
                <w:color w:val="000000"/>
                <w:sz w:val="20"/>
                <w:szCs w:val="22"/>
                <w:lang w:val="en-US"/>
              </w:rPr>
              <w:t>Level 2</w:t>
            </w: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b/>
                <w:bCs/>
                <w:color w:val="000000"/>
                <w:sz w:val="20"/>
                <w:szCs w:val="22"/>
                <w:lang w:val="en-US"/>
              </w:rPr>
            </w:pPr>
            <w:r>
              <w:rPr>
                <w:rFonts w:ascii="Calibri" w:hAnsi="Calibri" w:cs="Calibri"/>
                <w:b/>
                <w:bCs/>
                <w:color w:val="000000"/>
                <w:sz w:val="20"/>
                <w:szCs w:val="22"/>
                <w:lang w:val="en-US"/>
              </w:rPr>
              <w:t>Level 3</w:t>
            </w:r>
          </w:p>
        </w:tc>
        <w:tc>
          <w:tcPr>
            <w:tcW w:w="3544" w:type="dxa"/>
            <w:tcBorders>
              <w:top w:val="nil"/>
              <w:left w:val="nil"/>
              <w:bottom w:val="nil"/>
              <w:right w:val="nil"/>
            </w:tcBorders>
          </w:tcPr>
          <w:p w:rsidR="008D31FF" w:rsidRDefault="008D31FF" w:rsidP="00AF5DA3">
            <w:pPr>
              <w:spacing w:line="240" w:lineRule="auto"/>
              <w:rPr>
                <w:rFonts w:ascii="Calibri" w:hAnsi="Calibri" w:cs="Calibri"/>
                <w:b/>
                <w:bCs/>
                <w:color w:val="000000"/>
                <w:sz w:val="20"/>
                <w:szCs w:val="22"/>
                <w:lang w:val="en-US"/>
              </w:rPr>
            </w:pPr>
          </w:p>
        </w:tc>
      </w:tr>
      <w:tr w:rsidR="008D31FF" w:rsidTr="00AF5DA3">
        <w:trPr>
          <w:cantSplit/>
          <w:trHeight w:val="20"/>
        </w:trPr>
        <w:tc>
          <w:tcPr>
            <w:tcW w:w="718" w:type="dxa"/>
            <w:vMerge w:val="restart"/>
            <w:tcBorders>
              <w:top w:val="single" w:sz="4" w:space="0" w:color="auto"/>
              <w:left w:val="nil"/>
              <w:bottom w:val="single" w:sz="4" w:space="0" w:color="000000"/>
              <w:right w:val="nil"/>
            </w:tcBorders>
            <w:shd w:val="clear" w:color="auto" w:fill="auto"/>
            <w:textDirection w:val="btLr"/>
            <w:vAlign w:val="center"/>
            <w:hideMark/>
          </w:tcPr>
          <w:p w:rsidR="008D31FF" w:rsidRDefault="008D31FF" w:rsidP="00AF5DA3">
            <w:pPr>
              <w:spacing w:line="240" w:lineRule="auto"/>
              <w:jc w:val="center"/>
              <w:rPr>
                <w:rFonts w:ascii="Calibri" w:hAnsi="Calibri" w:cs="Calibri"/>
                <w:b/>
                <w:color w:val="000000"/>
                <w:sz w:val="20"/>
                <w:szCs w:val="22"/>
              </w:rPr>
            </w:pPr>
            <w:r>
              <w:rPr>
                <w:rFonts w:ascii="Calibri" w:hAnsi="Calibri" w:cs="Calibri"/>
                <w:b/>
                <w:color w:val="000000"/>
                <w:sz w:val="20"/>
                <w:szCs w:val="22"/>
              </w:rPr>
              <w:t>Non-communicable diseases</w:t>
            </w:r>
          </w:p>
        </w:tc>
        <w:tc>
          <w:tcPr>
            <w:tcW w:w="1811" w:type="dxa"/>
            <w:vMerge w:val="restart"/>
            <w:tcBorders>
              <w:top w:val="single" w:sz="4" w:space="0" w:color="auto"/>
              <w:left w:val="nil"/>
              <w:bottom w:val="nil"/>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Cardiovascular diseases</w:t>
            </w:r>
          </w:p>
        </w:tc>
        <w:tc>
          <w:tcPr>
            <w:tcW w:w="3370" w:type="dxa"/>
            <w:tcBorders>
              <w:top w:val="single" w:sz="4" w:space="0" w:color="auto"/>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Ischemic heart disease</w:t>
            </w:r>
          </w:p>
        </w:tc>
        <w:tc>
          <w:tcPr>
            <w:tcW w:w="3544" w:type="dxa"/>
            <w:tcBorders>
              <w:top w:val="single" w:sz="4" w:space="0" w:color="auto"/>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Rheumatic heart disease</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1811" w:type="dxa"/>
            <w:vMerge/>
            <w:tcBorders>
              <w:top w:val="single" w:sz="4" w:space="0" w:color="auto"/>
              <w:left w:val="nil"/>
              <w:bottom w:val="nil"/>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Stroke</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Aortic aneurysm</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single" w:sz="4" w:space="0" w:color="auto"/>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Hypertensive heart disease</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Peripheral artery disease</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single" w:sz="4" w:space="0" w:color="auto"/>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Atrial fibrillation and flutter</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Other cardiovascular and circulatory diseases</w:t>
            </w:r>
          </w:p>
        </w:tc>
      </w:tr>
      <w:tr w:rsidR="008D31FF" w:rsidTr="00AF5DA3">
        <w:trPr>
          <w:cantSplit/>
          <w:trHeight w:val="85"/>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1811" w:type="dxa"/>
            <w:vMerge/>
            <w:tcBorders>
              <w:top w:val="single" w:sz="4" w:space="0" w:color="auto"/>
              <w:left w:val="nil"/>
              <w:bottom w:val="nil"/>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Non-rheumatic valvular heart disease</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Endocarditis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1811" w:type="dxa"/>
            <w:vMerge/>
            <w:tcBorders>
              <w:top w:val="single" w:sz="4" w:space="0" w:color="auto"/>
              <w:left w:val="nil"/>
              <w:bottom w:val="nil"/>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Cardiomyopathy and myocarditis</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Primary pulmonary arterial hypertension</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val="restart"/>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Chronic respiratory diseases</w:t>
            </w:r>
          </w:p>
        </w:tc>
        <w:tc>
          <w:tcPr>
            <w:tcW w:w="3370" w:type="dxa"/>
            <w:tcBorders>
              <w:top w:val="single" w:sz="4" w:space="0" w:color="auto"/>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Chronic obstructive pulmonary disease</w:t>
            </w:r>
          </w:p>
        </w:tc>
        <w:tc>
          <w:tcPr>
            <w:tcW w:w="3544" w:type="dxa"/>
            <w:tcBorders>
              <w:top w:val="single" w:sz="4" w:space="0" w:color="auto"/>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Pneumoconiosis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Interstitial lung disease and pulmonary sarcoidosis</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chronic respiratory diseases</w:t>
            </w:r>
          </w:p>
        </w:tc>
      </w:tr>
      <w:tr w:rsidR="008D31FF" w:rsidTr="00AF5DA3">
        <w:trPr>
          <w:cantSplit/>
          <w:trHeight w:val="77"/>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Asthma</w:t>
            </w:r>
          </w:p>
        </w:tc>
        <w:tc>
          <w:tcPr>
            <w:tcW w:w="3544" w:type="dxa"/>
            <w:tcBorders>
              <w:top w:val="nil"/>
              <w:left w:val="nil"/>
              <w:bottom w:val="single" w:sz="4" w:space="0" w:color="auto"/>
              <w:right w:val="nil"/>
            </w:tcBorders>
          </w:tcPr>
          <w:p w:rsidR="008D31FF" w:rsidRDefault="008D31FF" w:rsidP="00AF5DA3">
            <w:pPr>
              <w:spacing w:line="240" w:lineRule="auto"/>
              <w:rPr>
                <w:rFonts w:ascii="Calibri" w:hAnsi="Calibri" w:cs="Calibri"/>
                <w:color w:val="000000"/>
                <w:sz w:val="20"/>
                <w:szCs w:val="22"/>
              </w:rPr>
            </w:pPr>
          </w:p>
        </w:tc>
      </w:tr>
      <w:tr w:rsidR="008D31FF" w:rsidTr="00AF5DA3">
        <w:trPr>
          <w:cantSplit/>
          <w:trHeight w:val="318"/>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val="restart"/>
            <w:tcBorders>
              <w:top w:val="nil"/>
              <w:left w:val="nil"/>
              <w:bottom w:val="nil"/>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Diabetes and kidney diseases</w:t>
            </w:r>
          </w:p>
        </w:tc>
        <w:tc>
          <w:tcPr>
            <w:tcW w:w="3370" w:type="dxa"/>
            <w:tcBorders>
              <w:top w:val="single" w:sz="4" w:space="0" w:color="auto"/>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Chronic kidney disease</w:t>
            </w:r>
          </w:p>
        </w:tc>
        <w:tc>
          <w:tcPr>
            <w:tcW w:w="3544" w:type="dxa"/>
            <w:tcBorders>
              <w:top w:val="single" w:sz="4" w:space="0" w:color="auto"/>
              <w:left w:val="nil"/>
              <w:bottom w:val="nil"/>
              <w:right w:val="nil"/>
            </w:tcBorders>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Acute glomerulonephritis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Diabetes mellitus</w:t>
            </w:r>
          </w:p>
        </w:tc>
        <w:tc>
          <w:tcPr>
            <w:tcW w:w="3544" w:type="dxa"/>
            <w:tcBorders>
              <w:top w:val="nil"/>
              <w:left w:val="nil"/>
              <w:bottom w:val="single" w:sz="4" w:space="0" w:color="auto"/>
              <w:right w:val="nil"/>
            </w:tcBorders>
          </w:tcPr>
          <w:p w:rsidR="008D31FF" w:rsidRDefault="008D31FF" w:rsidP="00AF5DA3">
            <w:pPr>
              <w:spacing w:line="240" w:lineRule="auto"/>
              <w:rPr>
                <w:rFonts w:ascii="Calibri" w:hAnsi="Calibri" w:cs="Calibri"/>
                <w:color w:val="000000"/>
                <w:sz w:val="20"/>
                <w:szCs w:val="22"/>
              </w:rPr>
            </w:pP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val="restart"/>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Digestive diseases</w:t>
            </w:r>
          </w:p>
        </w:tc>
        <w:tc>
          <w:tcPr>
            <w:tcW w:w="3370" w:type="dxa"/>
            <w:tcBorders>
              <w:top w:val="single" w:sz="4" w:space="0" w:color="auto"/>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Cirrhosis and other chronic liver diseases</w:t>
            </w:r>
          </w:p>
        </w:tc>
        <w:tc>
          <w:tcPr>
            <w:tcW w:w="3544" w:type="dxa"/>
            <w:tcBorders>
              <w:top w:val="single" w:sz="4" w:space="0" w:color="auto"/>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digestive diseases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Paralytic ileus and intestinal obstruction</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Pancreatitis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1811"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Vascular intestinal disorders</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Inflammatory bowel disease</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Upper digestive system diseases</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Inguinal, femoral, and abdominal hernia</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1811"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3370" w:type="dxa"/>
            <w:tcBorders>
              <w:top w:val="nil"/>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Gallbladder and biliary diseases</w:t>
            </w:r>
          </w:p>
        </w:tc>
        <w:tc>
          <w:tcPr>
            <w:tcW w:w="3544" w:type="dxa"/>
            <w:tcBorders>
              <w:top w:val="nil"/>
              <w:left w:val="nil"/>
              <w:bottom w:val="single" w:sz="4" w:space="0" w:color="auto"/>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Appendicitis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Mental disorders</w:t>
            </w:r>
          </w:p>
        </w:tc>
        <w:tc>
          <w:tcPr>
            <w:tcW w:w="3370" w:type="dxa"/>
            <w:tcBorders>
              <w:top w:val="single" w:sz="4" w:space="0" w:color="auto"/>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Eating disorders</w:t>
            </w:r>
          </w:p>
        </w:tc>
        <w:tc>
          <w:tcPr>
            <w:tcW w:w="3544" w:type="dxa"/>
            <w:tcBorders>
              <w:top w:val="single" w:sz="4" w:space="0" w:color="auto"/>
              <w:left w:val="nil"/>
              <w:bottom w:val="single" w:sz="4" w:space="0" w:color="auto"/>
              <w:right w:val="nil"/>
            </w:tcBorders>
          </w:tcPr>
          <w:p w:rsidR="008D31FF" w:rsidRDefault="008D31FF" w:rsidP="00AF5DA3">
            <w:pPr>
              <w:spacing w:line="240" w:lineRule="auto"/>
              <w:rPr>
                <w:rFonts w:ascii="Calibri" w:hAnsi="Calibri" w:cs="Calibri"/>
                <w:color w:val="000000"/>
                <w:sz w:val="20"/>
                <w:szCs w:val="22"/>
              </w:rPr>
            </w:pPr>
          </w:p>
        </w:tc>
      </w:tr>
      <w:tr w:rsidR="008D31FF" w:rsidTr="00AF5DA3">
        <w:trPr>
          <w:cantSplit/>
          <w:trHeight w:val="77"/>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Musculoskeletal disorders</w:t>
            </w:r>
          </w:p>
        </w:tc>
        <w:tc>
          <w:tcPr>
            <w:tcW w:w="3370" w:type="dxa"/>
            <w:tcBorders>
              <w:top w:val="single" w:sz="4" w:space="0" w:color="auto"/>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musculoskeletal disorders</w:t>
            </w:r>
          </w:p>
        </w:tc>
        <w:tc>
          <w:tcPr>
            <w:tcW w:w="3544" w:type="dxa"/>
            <w:tcBorders>
              <w:top w:val="single" w:sz="4" w:space="0" w:color="auto"/>
              <w:left w:val="nil"/>
              <w:bottom w:val="single" w:sz="4" w:space="0" w:color="auto"/>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Rheumatoid arthritis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val="restart"/>
            <w:tcBorders>
              <w:top w:val="nil"/>
              <w:left w:val="nil"/>
              <w:bottom w:val="nil"/>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Neoplasms</w:t>
            </w:r>
          </w:p>
        </w:tc>
        <w:tc>
          <w:tcPr>
            <w:tcW w:w="3370" w:type="dxa"/>
            <w:tcBorders>
              <w:top w:val="single" w:sz="4" w:space="0" w:color="auto"/>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Tracheal, bronchus, and lung cancer</w:t>
            </w:r>
          </w:p>
        </w:tc>
        <w:tc>
          <w:tcPr>
            <w:tcW w:w="3544" w:type="dxa"/>
            <w:tcBorders>
              <w:top w:val="single" w:sz="4" w:space="0" w:color="auto"/>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malignant neoplasms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Colon and rectum cancer</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Malignant skin melanoma</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Breast cancer</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pharynx cancer</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Pancreatic cancer</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Lip and oral cavity cancer</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Prostate cancer</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Uterine cancer</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Stomach cancer</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Cervical cancer</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Bladder cancer</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Soft tissue and other extraosseous sarcomas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Leukemia</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Larynx cancer</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Kidney cancer</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Mesothelioma</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Liver cancer</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Non-melanoma skin cancer</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Non-Hodgkin lymphoma</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Thyroid cancer</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Brain and central nervous system cancer</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Malignant bone tumors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Esophageal cancer</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Hodgkin lymphoma</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Ovarian cancer</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Eye cancer</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Multiple myeloma</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Testicular cancer</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neoplasms</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Nasopharynx cancer</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Gallbladder and biliary tract cancer</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Neuroblastoma and other peripheral nervous cell tumors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1811" w:type="dxa"/>
            <w:vMerge w:val="restart"/>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Neurological disorders</w:t>
            </w:r>
          </w:p>
        </w:tc>
        <w:tc>
          <w:tcPr>
            <w:tcW w:w="3370" w:type="dxa"/>
            <w:tcBorders>
              <w:top w:val="single" w:sz="4" w:space="0" w:color="auto"/>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Alzheimer's disease and other dementias</w:t>
            </w:r>
          </w:p>
        </w:tc>
        <w:tc>
          <w:tcPr>
            <w:tcW w:w="3544" w:type="dxa"/>
            <w:tcBorders>
              <w:top w:val="single" w:sz="4" w:space="0" w:color="auto"/>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Motor neuron disease</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1811"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Parkinson's disease</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neurological disorders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Epilepsy</w:t>
            </w:r>
          </w:p>
        </w:tc>
        <w:tc>
          <w:tcPr>
            <w:tcW w:w="3544" w:type="dxa"/>
            <w:tcBorders>
              <w:top w:val="nil"/>
              <w:left w:val="nil"/>
              <w:bottom w:val="single" w:sz="4" w:space="0" w:color="auto"/>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Multiple sclerosis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val="restart"/>
            <w:tcBorders>
              <w:top w:val="nil"/>
              <w:left w:val="nil"/>
              <w:bottom w:val="nil"/>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non-communicable diseases</w:t>
            </w:r>
          </w:p>
        </w:tc>
        <w:tc>
          <w:tcPr>
            <w:tcW w:w="3370" w:type="dxa"/>
            <w:tcBorders>
              <w:top w:val="single" w:sz="4" w:space="0" w:color="auto"/>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Urinary diseases and male infertility</w:t>
            </w:r>
          </w:p>
        </w:tc>
        <w:tc>
          <w:tcPr>
            <w:tcW w:w="3544" w:type="dxa"/>
            <w:tcBorders>
              <w:top w:val="single" w:sz="4" w:space="0" w:color="auto"/>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Hemoglobinopathies and hemolytic anemias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Endocrine, metabolic, blood, and immune disorders</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Sudden infant death syndrome</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tcBorders>
              <w:top w:val="nil"/>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337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Congenital birth defects</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Gynecological diseases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1811" w:type="dxa"/>
            <w:tcBorders>
              <w:top w:val="single" w:sz="4" w:space="0" w:color="auto"/>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Sense organ diseases</w:t>
            </w:r>
          </w:p>
        </w:tc>
        <w:tc>
          <w:tcPr>
            <w:tcW w:w="3370" w:type="dxa"/>
            <w:tcBorders>
              <w:top w:val="single" w:sz="4" w:space="0" w:color="auto"/>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sense organ diseases</w:t>
            </w:r>
          </w:p>
        </w:tc>
        <w:tc>
          <w:tcPr>
            <w:tcW w:w="3544" w:type="dxa"/>
            <w:tcBorders>
              <w:top w:val="single" w:sz="4" w:space="0" w:color="auto"/>
              <w:left w:val="nil"/>
              <w:bottom w:val="single" w:sz="4" w:space="0" w:color="auto"/>
              <w:right w:val="nil"/>
            </w:tcBorders>
          </w:tcPr>
          <w:p w:rsidR="008D31FF" w:rsidRDefault="008D31FF" w:rsidP="00AF5DA3">
            <w:pPr>
              <w:spacing w:line="240" w:lineRule="auto"/>
              <w:rPr>
                <w:rFonts w:ascii="Calibri" w:hAnsi="Calibri" w:cs="Calibri"/>
                <w:color w:val="000000"/>
                <w:sz w:val="20"/>
                <w:szCs w:val="22"/>
              </w:rPr>
            </w:pP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vMerge w:val="restart"/>
            <w:tcBorders>
              <w:top w:val="single" w:sz="4" w:space="0" w:color="auto"/>
              <w:left w:val="nil"/>
              <w:bottom w:val="nil"/>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Skin and subcutaneous diseases</w:t>
            </w:r>
          </w:p>
        </w:tc>
        <w:tc>
          <w:tcPr>
            <w:tcW w:w="3370" w:type="dxa"/>
            <w:tcBorders>
              <w:top w:val="single" w:sz="4" w:space="0" w:color="auto"/>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Bacterial skin diseases</w:t>
            </w:r>
          </w:p>
        </w:tc>
        <w:tc>
          <w:tcPr>
            <w:tcW w:w="3544" w:type="dxa"/>
            <w:tcBorders>
              <w:top w:val="nil"/>
              <w:left w:val="nil"/>
              <w:bottom w:val="nil"/>
              <w:right w:val="nil"/>
            </w:tcBorders>
            <w:vAlign w:val="center"/>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Other skin and subcutaneous diseases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1811" w:type="dxa"/>
            <w:vMerge/>
            <w:tcBorders>
              <w:top w:val="nil"/>
              <w:left w:val="nil"/>
              <w:bottom w:val="single" w:sz="4" w:space="0" w:color="auto"/>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3370" w:type="dxa"/>
            <w:tcBorders>
              <w:top w:val="nil"/>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Decubitus ulcer</w:t>
            </w:r>
          </w:p>
        </w:tc>
        <w:tc>
          <w:tcPr>
            <w:tcW w:w="3544" w:type="dxa"/>
            <w:tcBorders>
              <w:top w:val="nil"/>
              <w:left w:val="nil"/>
              <w:bottom w:val="single" w:sz="4" w:space="0" w:color="auto"/>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Scabies</w:t>
            </w:r>
          </w:p>
        </w:tc>
      </w:tr>
      <w:tr w:rsidR="008D31FF" w:rsidTr="00AF5DA3">
        <w:trPr>
          <w:cantSplit/>
          <w:trHeight w:val="20"/>
        </w:trPr>
        <w:tc>
          <w:tcPr>
            <w:tcW w:w="718"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1811" w:type="dxa"/>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Substance use disorders</w:t>
            </w:r>
          </w:p>
        </w:tc>
        <w:tc>
          <w:tcPr>
            <w:tcW w:w="3370" w:type="dxa"/>
            <w:tcBorders>
              <w:top w:val="single" w:sz="4" w:space="0" w:color="auto"/>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Alcohol use disorders</w:t>
            </w:r>
          </w:p>
        </w:tc>
        <w:tc>
          <w:tcPr>
            <w:tcW w:w="3544" w:type="dxa"/>
            <w:tcBorders>
              <w:top w:val="single" w:sz="4" w:space="0" w:color="auto"/>
              <w:left w:val="nil"/>
              <w:bottom w:val="single" w:sz="4" w:space="0" w:color="auto"/>
              <w:right w:val="nil"/>
            </w:tcBorders>
            <w:vAlign w:val="center"/>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Drug use disorders</w:t>
            </w:r>
          </w:p>
        </w:tc>
      </w:tr>
    </w:tbl>
    <w:p w:rsidR="008D31FF" w:rsidRDefault="008D31FF" w:rsidP="008D31FF"/>
    <w:tbl>
      <w:tblPr>
        <w:tblW w:w="9116" w:type="dxa"/>
        <w:tblInd w:w="55" w:type="dxa"/>
        <w:tblCellMar>
          <w:left w:w="0" w:type="dxa"/>
          <w:right w:w="0" w:type="dxa"/>
        </w:tblCellMar>
        <w:tblLook w:val="04A0" w:firstRow="1" w:lastRow="0" w:firstColumn="1" w:lastColumn="0" w:noHBand="0" w:noVBand="1"/>
      </w:tblPr>
      <w:tblGrid>
        <w:gridCol w:w="876"/>
        <w:gridCol w:w="2979"/>
        <w:gridCol w:w="5309"/>
      </w:tblGrid>
      <w:tr w:rsidR="008D31FF" w:rsidTr="00AF5DA3">
        <w:trPr>
          <w:trHeight w:val="70"/>
        </w:trPr>
        <w:tc>
          <w:tcPr>
            <w:tcW w:w="860"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b/>
                <w:bCs/>
                <w:color w:val="000000"/>
                <w:sz w:val="20"/>
                <w:szCs w:val="22"/>
                <w:lang w:val="en-US"/>
              </w:rPr>
            </w:pPr>
            <w:r>
              <w:rPr>
                <w:rFonts w:ascii="Calibri" w:hAnsi="Calibri" w:cs="Calibri"/>
                <w:b/>
                <w:bCs/>
                <w:color w:val="000000"/>
                <w:sz w:val="20"/>
                <w:szCs w:val="22"/>
                <w:lang w:val="en-US"/>
              </w:rPr>
              <w:t>Level 1</w:t>
            </w:r>
          </w:p>
        </w:tc>
        <w:tc>
          <w:tcPr>
            <w:tcW w:w="2963"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b/>
                <w:bCs/>
                <w:color w:val="000000"/>
                <w:sz w:val="20"/>
                <w:szCs w:val="22"/>
                <w:lang w:val="en-US"/>
              </w:rPr>
            </w:pPr>
            <w:r>
              <w:rPr>
                <w:rFonts w:ascii="Calibri" w:hAnsi="Calibri" w:cs="Calibri"/>
                <w:b/>
                <w:bCs/>
                <w:color w:val="000000"/>
                <w:sz w:val="20"/>
                <w:szCs w:val="22"/>
                <w:lang w:val="en-US"/>
              </w:rPr>
              <w:t>Level 2</w:t>
            </w:r>
          </w:p>
        </w:tc>
        <w:tc>
          <w:tcPr>
            <w:tcW w:w="5293"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b/>
                <w:bCs/>
                <w:color w:val="000000"/>
                <w:sz w:val="20"/>
                <w:szCs w:val="22"/>
                <w:lang w:val="en-US"/>
              </w:rPr>
            </w:pPr>
            <w:r>
              <w:rPr>
                <w:rFonts w:ascii="Calibri" w:hAnsi="Calibri" w:cs="Calibri"/>
                <w:b/>
                <w:bCs/>
                <w:color w:val="000000"/>
                <w:sz w:val="20"/>
                <w:szCs w:val="22"/>
                <w:lang w:val="en-US"/>
              </w:rPr>
              <w:t>Level 3</w:t>
            </w:r>
          </w:p>
        </w:tc>
      </w:tr>
      <w:tr w:rsidR="008D31FF" w:rsidTr="00AF5DA3">
        <w:trPr>
          <w:cantSplit/>
          <w:trHeight w:val="20"/>
        </w:trPr>
        <w:tc>
          <w:tcPr>
            <w:tcW w:w="860" w:type="dxa"/>
            <w:vMerge w:val="restart"/>
            <w:tcBorders>
              <w:top w:val="single" w:sz="4" w:space="0" w:color="auto"/>
              <w:left w:val="nil"/>
              <w:bottom w:val="single" w:sz="4" w:space="0" w:color="000000"/>
              <w:right w:val="nil"/>
            </w:tcBorders>
            <w:shd w:val="clear" w:color="auto" w:fill="auto"/>
            <w:textDirection w:val="btLr"/>
            <w:vAlign w:val="center"/>
            <w:hideMark/>
          </w:tcPr>
          <w:p w:rsidR="008D31FF" w:rsidRDefault="008D31FF" w:rsidP="00AF5DA3">
            <w:pPr>
              <w:spacing w:line="240" w:lineRule="auto"/>
              <w:jc w:val="center"/>
              <w:rPr>
                <w:rFonts w:ascii="Calibri" w:hAnsi="Calibri" w:cs="Calibri"/>
                <w:b/>
                <w:color w:val="000000"/>
                <w:sz w:val="20"/>
                <w:szCs w:val="22"/>
              </w:rPr>
            </w:pPr>
            <w:r>
              <w:rPr>
                <w:rFonts w:ascii="Calibri" w:hAnsi="Calibri" w:cs="Calibri"/>
                <w:b/>
                <w:color w:val="000000"/>
                <w:sz w:val="20"/>
                <w:szCs w:val="22"/>
              </w:rPr>
              <w:t>Injuries</w:t>
            </w:r>
          </w:p>
        </w:tc>
        <w:tc>
          <w:tcPr>
            <w:tcW w:w="2963" w:type="dxa"/>
            <w:vMerge w:val="restart"/>
            <w:tcBorders>
              <w:top w:val="single" w:sz="4" w:space="0" w:color="auto"/>
              <w:left w:val="nil"/>
              <w:bottom w:val="nil"/>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Self-harm and interpersonal violence</w:t>
            </w:r>
          </w:p>
        </w:tc>
        <w:tc>
          <w:tcPr>
            <w:tcW w:w="5293" w:type="dxa"/>
            <w:tcBorders>
              <w:top w:val="single" w:sz="4" w:space="0" w:color="auto"/>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Self-harm</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2963" w:type="dxa"/>
            <w:vMerge/>
            <w:tcBorders>
              <w:top w:val="single" w:sz="4" w:space="0" w:color="auto"/>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93"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Interpersonal violence</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2963" w:type="dxa"/>
            <w:vMerge/>
            <w:tcBorders>
              <w:top w:val="single" w:sz="4" w:space="0" w:color="auto"/>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93"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Executions and police conflict</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2963" w:type="dxa"/>
            <w:vMerge/>
            <w:tcBorders>
              <w:top w:val="single" w:sz="4" w:space="0" w:color="auto"/>
              <w:left w:val="nil"/>
              <w:bottom w:val="nil"/>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93"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Conflict and terrorism</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2963" w:type="dxa"/>
            <w:vMerge w:val="restart"/>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Transport injuries</w:t>
            </w:r>
          </w:p>
        </w:tc>
        <w:tc>
          <w:tcPr>
            <w:tcW w:w="5293" w:type="dxa"/>
            <w:tcBorders>
              <w:top w:val="single" w:sz="4" w:space="0" w:color="auto"/>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Road injuries</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2963" w:type="dxa"/>
            <w:vMerge/>
            <w:tcBorders>
              <w:top w:val="single" w:sz="4" w:space="0" w:color="auto"/>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5293" w:type="dxa"/>
            <w:tcBorders>
              <w:top w:val="nil"/>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transport injuries</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2963" w:type="dxa"/>
            <w:vMerge w:val="restart"/>
            <w:tcBorders>
              <w:top w:val="nil"/>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Unintentional injuries</w:t>
            </w:r>
          </w:p>
        </w:tc>
        <w:tc>
          <w:tcPr>
            <w:tcW w:w="5293"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Falls</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2963" w:type="dxa"/>
            <w:vMerge/>
            <w:tcBorders>
              <w:top w:val="nil"/>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93"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Adverse effects of medical treatment</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2963" w:type="dxa"/>
            <w:vMerge/>
            <w:tcBorders>
              <w:top w:val="nil"/>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5293"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Foreign body</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2963" w:type="dxa"/>
            <w:vMerge/>
            <w:tcBorders>
              <w:top w:val="nil"/>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93"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Drowning</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2963" w:type="dxa"/>
            <w:vMerge/>
            <w:tcBorders>
              <w:top w:val="nil"/>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93"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Fire, heat, and hot substances</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2963" w:type="dxa"/>
            <w:vMerge/>
            <w:tcBorders>
              <w:top w:val="nil"/>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5293"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Exposure to mechanical forces</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2963" w:type="dxa"/>
            <w:vMerge/>
            <w:tcBorders>
              <w:top w:val="nil"/>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93"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Environmental heat and cold exposure</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2963" w:type="dxa"/>
            <w:vMerge/>
            <w:tcBorders>
              <w:top w:val="nil"/>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5293"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Other unintentional injuries</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lang w:val="en-US"/>
              </w:rPr>
            </w:pPr>
          </w:p>
        </w:tc>
        <w:tc>
          <w:tcPr>
            <w:tcW w:w="2963" w:type="dxa"/>
            <w:vMerge/>
            <w:tcBorders>
              <w:top w:val="nil"/>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lang w:val="en-US"/>
              </w:rPr>
            </w:pPr>
          </w:p>
        </w:tc>
        <w:tc>
          <w:tcPr>
            <w:tcW w:w="5293"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Poisonings</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2963" w:type="dxa"/>
            <w:vMerge/>
            <w:tcBorders>
              <w:top w:val="nil"/>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93" w:type="dxa"/>
            <w:tcBorders>
              <w:top w:val="nil"/>
              <w:left w:val="nil"/>
              <w:bottom w:val="nil"/>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rPr>
            </w:pPr>
            <w:r>
              <w:rPr>
                <w:rFonts w:ascii="Calibri" w:hAnsi="Calibri" w:cs="Calibri"/>
                <w:color w:val="000000"/>
                <w:sz w:val="20"/>
                <w:szCs w:val="22"/>
              </w:rPr>
              <w:t>Animal contact</w:t>
            </w:r>
          </w:p>
        </w:tc>
      </w:tr>
      <w:tr w:rsidR="008D31FF" w:rsidTr="00AF5DA3">
        <w:trPr>
          <w:cantSplit/>
          <w:trHeight w:val="20"/>
        </w:trPr>
        <w:tc>
          <w:tcPr>
            <w:tcW w:w="860" w:type="dxa"/>
            <w:vMerge/>
            <w:tcBorders>
              <w:top w:val="single" w:sz="4" w:space="0" w:color="auto"/>
              <w:left w:val="nil"/>
              <w:bottom w:val="single" w:sz="4" w:space="0" w:color="000000"/>
              <w:right w:val="nil"/>
            </w:tcBorders>
            <w:shd w:val="clear" w:color="auto" w:fill="auto"/>
            <w:vAlign w:val="center"/>
            <w:hideMark/>
          </w:tcPr>
          <w:p w:rsidR="008D31FF" w:rsidRDefault="008D31FF" w:rsidP="00AF5DA3">
            <w:pPr>
              <w:spacing w:line="240" w:lineRule="auto"/>
              <w:rPr>
                <w:rFonts w:ascii="Calibri" w:hAnsi="Calibri" w:cs="Calibri"/>
                <w:b/>
                <w:color w:val="000000"/>
                <w:sz w:val="20"/>
                <w:szCs w:val="22"/>
              </w:rPr>
            </w:pPr>
          </w:p>
        </w:tc>
        <w:tc>
          <w:tcPr>
            <w:tcW w:w="2963" w:type="dxa"/>
            <w:vMerge/>
            <w:tcBorders>
              <w:top w:val="nil"/>
              <w:left w:val="nil"/>
              <w:bottom w:val="single" w:sz="4" w:space="0" w:color="000000"/>
              <w:right w:val="nil"/>
            </w:tcBorders>
            <w:vAlign w:val="center"/>
            <w:hideMark/>
          </w:tcPr>
          <w:p w:rsidR="008D31FF" w:rsidRDefault="008D31FF" w:rsidP="00AF5DA3">
            <w:pPr>
              <w:spacing w:line="240" w:lineRule="auto"/>
              <w:rPr>
                <w:rFonts w:ascii="Calibri" w:hAnsi="Calibri" w:cs="Calibri"/>
                <w:color w:val="000000"/>
                <w:sz w:val="20"/>
                <w:szCs w:val="22"/>
              </w:rPr>
            </w:pPr>
          </w:p>
        </w:tc>
        <w:tc>
          <w:tcPr>
            <w:tcW w:w="5293" w:type="dxa"/>
            <w:tcBorders>
              <w:top w:val="nil"/>
              <w:left w:val="nil"/>
              <w:bottom w:val="single" w:sz="4" w:space="0" w:color="auto"/>
              <w:right w:val="nil"/>
            </w:tcBorders>
            <w:shd w:val="clear" w:color="auto" w:fill="auto"/>
            <w:noWrap/>
            <w:vAlign w:val="center"/>
            <w:hideMark/>
          </w:tcPr>
          <w:p w:rsidR="008D31FF" w:rsidRDefault="008D31FF" w:rsidP="00AF5DA3">
            <w:pPr>
              <w:spacing w:line="240" w:lineRule="auto"/>
              <w:rPr>
                <w:rFonts w:ascii="Calibri" w:hAnsi="Calibri" w:cs="Calibri"/>
                <w:color w:val="000000"/>
                <w:sz w:val="20"/>
                <w:szCs w:val="22"/>
                <w:lang w:val="en-US"/>
              </w:rPr>
            </w:pPr>
            <w:r>
              <w:rPr>
                <w:rFonts w:ascii="Calibri" w:hAnsi="Calibri" w:cs="Calibri"/>
                <w:color w:val="000000"/>
                <w:sz w:val="20"/>
                <w:szCs w:val="22"/>
                <w:lang w:val="en-US"/>
              </w:rPr>
              <w:t>Exposure to forces of nature</w:t>
            </w:r>
          </w:p>
        </w:tc>
      </w:tr>
    </w:tbl>
    <w:p w:rsidR="008D31FF" w:rsidRDefault="008D31FF" w:rsidP="008D31FF">
      <w:pPr>
        <w:spacing w:line="480" w:lineRule="auto"/>
        <w:rPr>
          <w:rFonts w:ascii="Calibri" w:hAnsi="Calibri" w:cs="Calibri"/>
          <w:b/>
          <w:noProof/>
          <w:lang w:val="en-US"/>
        </w:rPr>
      </w:pPr>
    </w:p>
    <w:p w:rsidR="008D31FF" w:rsidRDefault="008D31FF" w:rsidP="008D31FF">
      <w:pPr>
        <w:spacing w:line="480" w:lineRule="auto"/>
        <w:rPr>
          <w:rFonts w:ascii="Calibri" w:hAnsi="Calibri" w:cs="Calibri"/>
          <w:b/>
          <w:noProof/>
          <w:lang w:val="en-US"/>
        </w:rPr>
      </w:pPr>
    </w:p>
    <w:p w:rsidR="008D31FF" w:rsidRDefault="008D31FF" w:rsidP="008D31FF">
      <w:pPr>
        <w:spacing w:line="480" w:lineRule="auto"/>
        <w:rPr>
          <w:rFonts w:ascii="Calibri" w:hAnsi="Calibri" w:cs="Calibri"/>
          <w:b/>
          <w:noProof/>
          <w:lang w:val="en-US"/>
        </w:rPr>
      </w:pPr>
    </w:p>
    <w:p w:rsidR="008D31FF" w:rsidRDefault="008D31FF" w:rsidP="008D31FF">
      <w:pPr>
        <w:spacing w:line="480" w:lineRule="auto"/>
        <w:rPr>
          <w:rFonts w:ascii="Calibri" w:hAnsi="Calibri" w:cs="Calibri"/>
          <w:b/>
          <w:noProof/>
          <w:lang w:val="en-US"/>
        </w:rPr>
      </w:pPr>
    </w:p>
    <w:p w:rsidR="008D31FF" w:rsidRDefault="008D31FF" w:rsidP="008D31FF">
      <w:pPr>
        <w:spacing w:line="480" w:lineRule="auto"/>
        <w:rPr>
          <w:rFonts w:ascii="Calibri" w:hAnsi="Calibri" w:cs="Calibri"/>
          <w:b/>
          <w:noProof/>
          <w:lang w:val="en-US"/>
        </w:rPr>
      </w:pPr>
    </w:p>
    <w:p w:rsidR="008D31FF" w:rsidRDefault="008D31FF" w:rsidP="008D31FF">
      <w:pPr>
        <w:spacing w:line="480" w:lineRule="auto"/>
        <w:rPr>
          <w:rFonts w:ascii="Calibri" w:hAnsi="Calibri" w:cs="Calibri"/>
          <w:b/>
          <w:noProof/>
          <w:lang w:val="en-US"/>
        </w:rPr>
      </w:pPr>
    </w:p>
    <w:p w:rsidR="008D31FF" w:rsidRDefault="008D31FF" w:rsidP="008D31FF">
      <w:pPr>
        <w:spacing w:line="480" w:lineRule="auto"/>
        <w:rPr>
          <w:rFonts w:ascii="Calibri" w:hAnsi="Calibri" w:cs="Calibri"/>
          <w:b/>
          <w:noProof/>
          <w:lang w:val="en-US"/>
        </w:rPr>
      </w:pPr>
    </w:p>
    <w:p w:rsidR="008D31FF" w:rsidRDefault="008D31FF" w:rsidP="008D31FF">
      <w:pPr>
        <w:spacing w:line="480" w:lineRule="auto"/>
        <w:rPr>
          <w:rFonts w:ascii="Calibri" w:hAnsi="Calibri" w:cs="Calibri"/>
          <w:b/>
          <w:noProof/>
          <w:lang w:val="en-US"/>
        </w:rPr>
      </w:pPr>
    </w:p>
    <w:p w:rsidR="008D31FF" w:rsidRDefault="008D31FF" w:rsidP="008D31FF">
      <w:pPr>
        <w:spacing w:line="480" w:lineRule="auto"/>
        <w:rPr>
          <w:rFonts w:ascii="Calibri" w:hAnsi="Calibri" w:cs="Calibri"/>
          <w:b/>
          <w:noProof/>
          <w:lang w:val="en-US"/>
        </w:rPr>
      </w:pPr>
    </w:p>
    <w:p w:rsidR="008D31FF" w:rsidRDefault="008D31FF" w:rsidP="008D31FF">
      <w:pPr>
        <w:spacing w:line="480" w:lineRule="auto"/>
        <w:rPr>
          <w:rFonts w:ascii="Calibri" w:hAnsi="Calibri" w:cs="Calibri"/>
          <w:b/>
          <w:noProof/>
          <w:lang w:val="en-US"/>
        </w:rPr>
      </w:pPr>
    </w:p>
    <w:p w:rsidR="008D31FF" w:rsidRDefault="008D31FF" w:rsidP="008D31FF">
      <w:pPr>
        <w:spacing w:line="480" w:lineRule="auto"/>
        <w:rPr>
          <w:rFonts w:ascii="Calibri" w:hAnsi="Calibri" w:cs="Calibri"/>
          <w:b/>
          <w:noProof/>
          <w:lang w:val="en-US"/>
        </w:rPr>
      </w:pPr>
    </w:p>
    <w:p w:rsidR="008D31FF" w:rsidRDefault="008D31FF" w:rsidP="008D31FF">
      <w:pPr>
        <w:spacing w:line="480" w:lineRule="auto"/>
        <w:rPr>
          <w:rFonts w:ascii="Calibri" w:hAnsi="Calibri" w:cs="Calibri"/>
          <w:b/>
          <w:noProof/>
          <w:lang w:val="en-US"/>
        </w:rPr>
      </w:pPr>
      <w:bookmarkStart w:id="0" w:name="_GoBack"/>
      <w:bookmarkEnd w:id="0"/>
      <w:r>
        <w:rPr>
          <w:rFonts w:ascii="Calibri" w:hAnsi="Calibri" w:cs="Calibri"/>
          <w:b/>
          <w:noProof/>
          <w:lang w:val="en-US"/>
        </w:rPr>
        <w:lastRenderedPageBreak/>
        <w:t xml:space="preserve">APPENDIX 3 </w:t>
      </w:r>
    </w:p>
    <w:p w:rsidR="008D31FF" w:rsidRDefault="008D31FF" w:rsidP="008D31FF">
      <w:pPr>
        <w:spacing w:line="240" w:lineRule="auto"/>
        <w:ind w:left="1410" w:hanging="1410"/>
        <w:rPr>
          <w:rFonts w:ascii="Calibri" w:hAnsi="Calibri" w:cs="Calibri"/>
          <w:noProof/>
          <w:lang w:val="en-US"/>
        </w:rPr>
      </w:pPr>
      <w:r>
        <w:rPr>
          <w:rFonts w:ascii="Calibri" w:hAnsi="Calibri" w:cs="Calibri"/>
          <w:b/>
          <w:noProof/>
          <w:lang w:val="en-US"/>
        </w:rPr>
        <w:t>Figure A1</w:t>
      </w:r>
      <w:r>
        <w:rPr>
          <w:rFonts w:ascii="Calibri" w:hAnsi="Calibri" w:cs="Calibri"/>
          <w:noProof/>
          <w:lang w:val="en-US"/>
        </w:rPr>
        <w:tab/>
      </w:r>
      <w:r>
        <w:rPr>
          <w:b/>
          <w:lang w:val="en-US"/>
        </w:rPr>
        <w:t xml:space="preserve">Redistribution of cases classified as IDD to Diabetes mellitus Type 1 and 2 on level 4, all IDD packages contributing </w:t>
      </w:r>
    </w:p>
    <w:p w:rsidR="008D31FF" w:rsidRDefault="008D31FF" w:rsidP="008D31FF">
      <w:pPr>
        <w:rPr>
          <w:rFonts w:ascii="Calibri" w:hAnsi="Calibri" w:cs="Calibri"/>
          <w:noProof/>
          <w:lang w:val="en-US"/>
        </w:rPr>
      </w:pPr>
      <w:r>
        <w:rPr>
          <w:noProof/>
          <w:highlight w:val="yellow"/>
          <w:lang w:val="en-US" w:eastAsia="en-US"/>
        </w:rPr>
        <w:drawing>
          <wp:inline distT="0" distB="0" distL="0" distR="0" wp14:anchorId="30FA2DEC" wp14:editId="08C078AD">
            <wp:extent cx="5756910" cy="3592713"/>
            <wp:effectExtent l="0" t="0" r="0" b="8255"/>
            <wp:docPr id="9"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8"/>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56910" cy="3592713"/>
                    </a:xfrm>
                    <a:prstGeom prst="rect">
                      <a:avLst/>
                    </a:prstGeom>
                  </pic:spPr>
                </pic:pic>
              </a:graphicData>
            </a:graphic>
          </wp:inline>
        </w:drawing>
      </w:r>
    </w:p>
    <w:p w:rsidR="008D31FF" w:rsidRDefault="008D31FF" w:rsidP="008D31FF">
      <w:pPr>
        <w:rPr>
          <w:rFonts w:ascii="Calibri" w:hAnsi="Calibri" w:cs="Calibri"/>
          <w:noProof/>
          <w:lang w:val="en-US"/>
        </w:rPr>
      </w:pPr>
      <w:r>
        <w:rPr>
          <w:sz w:val="20"/>
          <w:lang w:val="en-US"/>
        </w:rPr>
        <w:t>Source: causes of death statistics, Germany, 2017, own calculations</w:t>
      </w:r>
    </w:p>
    <w:p w:rsidR="00FF0F33" w:rsidRDefault="008D31FF"/>
    <w:sectPr w:rsidR="00FF0F3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1FF"/>
    <w:rsid w:val="00733948"/>
    <w:rsid w:val="008D31FF"/>
    <w:rsid w:val="00F75F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F7973"/>
  <w15:chartTrackingRefBased/>
  <w15:docId w15:val="{86BCE6F7-B4A3-4697-B1A9-818B24F51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31FF"/>
    <w:pPr>
      <w:spacing w:after="0" w:line="360" w:lineRule="auto"/>
    </w:pPr>
    <w:rPr>
      <w:rFonts w:eastAsia="Times New Roman" w:cs="Times New Roman"/>
      <w:sz w:val="24"/>
      <w:szCs w:val="24"/>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8D31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1470</Words>
  <Characters>8383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9834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2020-12-02T14:46:00Z</dcterms:created>
  <dcterms:modified xsi:type="dcterms:W3CDTF">2020-12-02T14:47:00Z</dcterms:modified>
</cp:coreProperties>
</file>