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5E46" w:rsidRDefault="00315E46" w:rsidP="00315E46">
      <w:pPr>
        <w:spacing w:after="0" w:line="480" w:lineRule="auto"/>
        <w:jc w:val="both"/>
        <w:rPr>
          <w:rFonts w:ascii="Times New Roman" w:hAnsi="Times New Roman" w:cs="Times New Roman"/>
          <w:sz w:val="24"/>
        </w:rPr>
      </w:pPr>
      <w:r w:rsidRPr="00F46141">
        <w:rPr>
          <w:rFonts w:ascii="Times New Roman" w:hAnsi="Times New Roman" w:cs="Times New Roman"/>
          <w:b/>
          <w:sz w:val="24"/>
        </w:rPr>
        <w:t>Supplementary Fig. 1</w:t>
      </w:r>
      <w:r>
        <w:rPr>
          <w:rFonts w:ascii="Times New Roman" w:hAnsi="Times New Roman" w:cs="Times New Roman"/>
          <w:sz w:val="24"/>
        </w:rPr>
        <w:t xml:space="preserve"> Illustration of key points in method used in the present work. </w:t>
      </w:r>
      <w:r w:rsidRPr="00F46141">
        <w:rPr>
          <w:rFonts w:ascii="Times New Roman" w:hAnsi="Times New Roman" w:cs="Times New Roman"/>
          <w:b/>
          <w:sz w:val="24"/>
        </w:rPr>
        <w:t>A</w:t>
      </w:r>
      <w:r>
        <w:rPr>
          <w:rFonts w:ascii="Times New Roman" w:hAnsi="Times New Roman" w:cs="Times New Roman"/>
          <w:sz w:val="24"/>
        </w:rPr>
        <w:t xml:space="preserve">, the control section devoid of primary antibody stain, the sections from naïve animal, and those from the saline and LPS injected animal are mounted on the same slide, in order for them to be stained in the same condition. </w:t>
      </w:r>
      <w:r w:rsidRPr="00F46141">
        <w:rPr>
          <w:rFonts w:ascii="Times New Roman" w:hAnsi="Times New Roman" w:cs="Times New Roman"/>
          <w:b/>
          <w:sz w:val="24"/>
        </w:rPr>
        <w:t>B</w:t>
      </w:r>
      <w:r>
        <w:rPr>
          <w:rFonts w:ascii="Times New Roman" w:hAnsi="Times New Roman" w:cs="Times New Roman"/>
          <w:sz w:val="24"/>
        </w:rPr>
        <w:t xml:space="preserve">, two CCL2 antibodies have been always applied together, which is PA5-34505 plus either AB25124 or NBP1-07035, because theoretically one (PA5-34505) is only binding to the C-terminals and the other (AB25124 or NBP1-07035) is predominantly binding to the N-terminals, based on the data sheet from the venders. Rationally, this combination may enhance the intensity of CCL2-ir during immunostaining.         </w:t>
      </w:r>
    </w:p>
    <w:p w:rsidR="00AF2F2A" w:rsidRDefault="00AF2F2A">
      <w:bookmarkStart w:id="0" w:name="_GoBack"/>
      <w:bookmarkEnd w:id="0"/>
    </w:p>
    <w:sectPr w:rsidR="00AF2F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E46"/>
    <w:rsid w:val="00315E46"/>
    <w:rsid w:val="00AF2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4BB76A-438E-4C7B-A489-6FB0155DD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5E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Jingdong (zhang2jd)</dc:creator>
  <cp:keywords/>
  <dc:description/>
  <cp:lastModifiedBy>Zhang, Jingdong (zhang2jd)</cp:lastModifiedBy>
  <cp:revision>1</cp:revision>
  <dcterms:created xsi:type="dcterms:W3CDTF">2021-12-20T15:35:00Z</dcterms:created>
  <dcterms:modified xsi:type="dcterms:W3CDTF">2021-12-20T15:36:00Z</dcterms:modified>
</cp:coreProperties>
</file>