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240" w:line="360" w:lineRule="auto"/>
        <w:jc w:val="center"/>
        <w:rPr>
          <w:rFonts w:ascii="Times New Roman" w:hAnsi="Times New Roman" w:cs="Times New Roman"/>
          <w:b/>
          <w:sz w:val="32"/>
        </w:rPr>
      </w:pPr>
      <w:bookmarkStart w:id="2" w:name="_GoBack"/>
      <w:bookmarkEnd w:id="2"/>
      <w:r>
        <w:rPr>
          <w:rFonts w:ascii="Times New Roman" w:hAnsi="Times New Roman" w:cs="Times New Roman"/>
          <w:b/>
          <w:sz w:val="32"/>
        </w:rPr>
        <w:t>S</w:t>
      </w:r>
      <w:r>
        <w:rPr>
          <w:rFonts w:hint="eastAsia" w:ascii="Times New Roman" w:hAnsi="Times New Roman" w:cs="Times New Roman"/>
          <w:b/>
          <w:sz w:val="32"/>
        </w:rPr>
        <w:t>upplementary methods</w:t>
      </w:r>
    </w:p>
    <w:p>
      <w:pPr>
        <w:spacing w:after="240" w:line="360" w:lineRule="auto"/>
        <w:jc w:val="center"/>
        <w:rPr>
          <w:rFonts w:ascii="Times New Roman" w:hAnsi="Times New Roman" w:cs="Times New Roman"/>
          <w:b/>
          <w:sz w:val="32"/>
        </w:rPr>
      </w:pPr>
    </w:p>
    <w:p>
      <w:pPr>
        <w:spacing w:after="240" w:line="360" w:lineRule="auto"/>
        <w:jc w:val="center"/>
        <w:rPr>
          <w:rFonts w:ascii="Times New Roman" w:hAnsi="Times New Roman" w:cs="Times New Roman"/>
          <w:b/>
          <w:sz w:val="32"/>
        </w:rPr>
      </w:pPr>
    </w:p>
    <w:p>
      <w:pPr>
        <w:pStyle w:val="7"/>
        <w:adjustRightInd w:val="0"/>
        <w:snapToGrid w:val="0"/>
        <w:spacing w:before="156" w:after="156"/>
        <w:ind w:firstLine="0" w:firstLineChars="0"/>
        <w:rPr>
          <w:rStyle w:val="9"/>
          <w:rFonts w:hint="eastAsia" w:eastAsia="Arial Unicode MS"/>
          <w:b/>
          <w:bCs/>
          <w:sz w:val="24"/>
          <w:szCs w:val="24"/>
        </w:rPr>
      </w:pPr>
      <w:r>
        <w:rPr>
          <w:rFonts w:hint="eastAsia"/>
          <w:b/>
          <w:sz w:val="24"/>
        </w:rPr>
        <w:t>Method</w:t>
      </w:r>
      <w:r>
        <w:rPr>
          <w:rStyle w:val="9"/>
          <w:b/>
          <w:bCs/>
          <w:sz w:val="24"/>
          <w:szCs w:val="24"/>
        </w:rPr>
        <w:t xml:space="preserve"> </w:t>
      </w:r>
      <w:r>
        <w:rPr>
          <w:rStyle w:val="9"/>
          <w:rFonts w:hint="eastAsia"/>
          <w:b/>
          <w:bCs/>
          <w:sz w:val="24"/>
          <w:szCs w:val="24"/>
        </w:rPr>
        <w:t xml:space="preserve">S1  </w:t>
      </w:r>
      <w:r>
        <w:rPr>
          <w:rStyle w:val="9"/>
          <w:b/>
          <w:bCs/>
          <w:sz w:val="24"/>
          <w:szCs w:val="24"/>
        </w:rPr>
        <w:t xml:space="preserve">GC/MS analysis, instrumental setting and the parameters </w:t>
      </w:r>
    </w:p>
    <w:p>
      <w:pPr>
        <w:pStyle w:val="7"/>
        <w:adjustRightInd w:val="0"/>
        <w:snapToGrid w:val="0"/>
        <w:spacing w:before="156" w:after="156"/>
        <w:ind w:firstLine="0" w:firstLineChars="0"/>
        <w:rPr>
          <w:rStyle w:val="9"/>
          <w:rFonts w:hint="eastAsia" w:eastAsia="Arial Unicode MS"/>
          <w:b/>
          <w:bCs/>
          <w:sz w:val="24"/>
          <w:szCs w:val="24"/>
        </w:rPr>
      </w:pPr>
      <w:r>
        <w:rPr>
          <w:rFonts w:hint="eastAsia"/>
          <w:b/>
          <w:sz w:val="24"/>
        </w:rPr>
        <w:t>Method</w:t>
      </w:r>
      <w:r>
        <w:rPr>
          <w:rStyle w:val="9"/>
          <w:b/>
          <w:bCs/>
          <w:sz w:val="24"/>
          <w:szCs w:val="24"/>
        </w:rPr>
        <w:t xml:space="preserve"> </w:t>
      </w:r>
      <w:r>
        <w:rPr>
          <w:rStyle w:val="9"/>
          <w:rFonts w:hint="eastAsia"/>
          <w:b/>
          <w:bCs/>
          <w:sz w:val="24"/>
          <w:szCs w:val="24"/>
        </w:rPr>
        <w:t xml:space="preserve">S2 </w:t>
      </w:r>
      <w:r>
        <w:rPr>
          <w:rStyle w:val="9"/>
          <w:b/>
          <w:bCs/>
          <w:sz w:val="24"/>
          <w:szCs w:val="24"/>
        </w:rPr>
        <w:t xml:space="preserve">LC/MS analysis, instrumental setting and the parameters </w:t>
      </w:r>
    </w:p>
    <w:p>
      <w:pPr>
        <w:pStyle w:val="7"/>
        <w:adjustRightInd w:val="0"/>
        <w:snapToGrid w:val="0"/>
        <w:spacing w:before="156" w:after="156"/>
        <w:ind w:firstLine="0" w:firstLineChars="0"/>
        <w:rPr>
          <w:b/>
          <w:bCs/>
        </w:rPr>
      </w:pPr>
      <w:r>
        <w:rPr>
          <w:rFonts w:hint="eastAsia"/>
          <w:b/>
          <w:sz w:val="24"/>
        </w:rPr>
        <w:t>Method</w:t>
      </w:r>
      <w:r>
        <w:rPr>
          <w:rStyle w:val="9"/>
          <w:b/>
          <w:bCs/>
          <w:sz w:val="24"/>
          <w:szCs w:val="24"/>
        </w:rPr>
        <w:t xml:space="preserve"> </w:t>
      </w:r>
      <w:r>
        <w:rPr>
          <w:rStyle w:val="9"/>
          <w:rFonts w:hint="eastAsia"/>
          <w:b/>
          <w:bCs/>
          <w:sz w:val="24"/>
          <w:szCs w:val="24"/>
        </w:rPr>
        <w:t xml:space="preserve">S3 </w:t>
      </w:r>
      <w:r>
        <w:rPr>
          <w:rFonts w:eastAsia="Arial Unicode MS"/>
          <w:b/>
          <w:bCs/>
          <w:sz w:val="24"/>
          <w:szCs w:val="24"/>
        </w:rPr>
        <w:t xml:space="preserve">Multivariate statistical analysis. </w:t>
      </w:r>
    </w:p>
    <w:p>
      <w:pPr>
        <w:pStyle w:val="7"/>
        <w:adjustRightInd w:val="0"/>
        <w:snapToGrid w:val="0"/>
        <w:spacing w:before="156" w:after="156"/>
        <w:ind w:firstLine="0" w:firstLineChars="0"/>
        <w:rPr>
          <w:rFonts w:eastAsia="Arial Unicode MS"/>
          <w:b/>
          <w:bCs/>
          <w:sz w:val="24"/>
          <w:szCs w:val="24"/>
        </w:rPr>
      </w:pPr>
      <w:r>
        <w:rPr>
          <w:rFonts w:hint="eastAsia"/>
          <w:b/>
          <w:sz w:val="24"/>
        </w:rPr>
        <w:t>Method</w:t>
      </w:r>
      <w:r>
        <w:rPr>
          <w:rStyle w:val="9"/>
          <w:b/>
          <w:bCs/>
          <w:sz w:val="24"/>
          <w:szCs w:val="24"/>
        </w:rPr>
        <w:t xml:space="preserve"> </w:t>
      </w:r>
      <w:r>
        <w:rPr>
          <w:rStyle w:val="9"/>
          <w:rFonts w:hint="eastAsia"/>
          <w:b/>
          <w:bCs/>
          <w:sz w:val="24"/>
          <w:szCs w:val="24"/>
        </w:rPr>
        <w:t xml:space="preserve">S4 </w:t>
      </w:r>
      <w:r>
        <w:rPr>
          <w:rFonts w:eastAsia="Arial Unicode MS"/>
          <w:b/>
          <w:bCs/>
          <w:sz w:val="24"/>
          <w:szCs w:val="24"/>
        </w:rPr>
        <w:t xml:space="preserve">Metabolic pathways analysis </w:t>
      </w:r>
    </w:p>
    <w:p>
      <w:pPr>
        <w:adjustRightInd w:val="0"/>
        <w:snapToGrid w:val="0"/>
        <w:spacing w:before="156" w:after="156"/>
        <w:rPr>
          <w:rStyle w:val="9"/>
          <w:rFonts w:hint="eastAsia"/>
          <w:b/>
          <w:bCs/>
          <w:sz w:val="24"/>
          <w:szCs w:val="24"/>
        </w:rPr>
      </w:pPr>
    </w:p>
    <w:p>
      <w:pPr>
        <w:pStyle w:val="7"/>
        <w:adjustRightInd w:val="0"/>
        <w:snapToGrid w:val="0"/>
        <w:spacing w:before="156" w:after="156"/>
        <w:ind w:firstLine="0" w:firstLineChars="0"/>
        <w:rPr>
          <w:rStyle w:val="9"/>
          <w:rFonts w:hint="eastAsia" w:eastAsia="Arial Unicode MS"/>
          <w:b/>
          <w:bCs/>
          <w:sz w:val="24"/>
          <w:szCs w:val="24"/>
        </w:rPr>
      </w:pPr>
      <w:r>
        <w:rPr>
          <w:rFonts w:hint="eastAsia"/>
          <w:b/>
          <w:sz w:val="24"/>
        </w:rPr>
        <w:t>Method</w:t>
      </w:r>
      <w:r>
        <w:rPr>
          <w:rStyle w:val="9"/>
          <w:b/>
          <w:bCs/>
          <w:sz w:val="24"/>
          <w:szCs w:val="24"/>
        </w:rPr>
        <w:t xml:space="preserve"> </w:t>
      </w:r>
      <w:r>
        <w:rPr>
          <w:rStyle w:val="9"/>
          <w:rFonts w:hint="eastAsia"/>
          <w:b/>
          <w:bCs/>
          <w:sz w:val="24"/>
          <w:szCs w:val="24"/>
        </w:rPr>
        <w:t xml:space="preserve">S1  </w:t>
      </w:r>
      <w:r>
        <w:rPr>
          <w:rStyle w:val="9"/>
          <w:b/>
          <w:bCs/>
          <w:sz w:val="24"/>
          <w:szCs w:val="24"/>
        </w:rPr>
        <w:t xml:space="preserve">GC/MS analysis, instrumental setting and the parameters </w:t>
      </w:r>
    </w:p>
    <w:p>
      <w:pPr>
        <w:pStyle w:val="7"/>
        <w:adjustRightInd w:val="0"/>
        <w:snapToGrid w:val="0"/>
        <w:spacing w:before="156" w:after="156"/>
        <w:ind w:firstLine="0" w:firstLineChars="0"/>
        <w:rPr>
          <w:rStyle w:val="9"/>
          <w:rFonts w:hint="eastAsia" w:eastAsia="Arial Unicode MS"/>
          <w:sz w:val="24"/>
          <w:szCs w:val="24"/>
        </w:rPr>
      </w:pPr>
      <w:r>
        <w:rPr>
          <w:rStyle w:val="9"/>
          <w:rFonts w:eastAsia="Arial Unicode MS"/>
          <w:sz w:val="24"/>
          <w:szCs w:val="24"/>
        </w:rPr>
        <w:t>The plasma samples were pretreated, extracted, and derivatised in a similar way to that reported previously</w:t>
      </w:r>
      <w:r>
        <w:rPr>
          <w:rStyle w:val="9"/>
          <w:rFonts w:hint="eastAsia" w:eastAsia="Arial Unicode MS"/>
          <w:sz w:val="24"/>
          <w:szCs w:val="24"/>
        </w:rPr>
        <w:t>[1]</w:t>
      </w:r>
      <w:r>
        <w:rPr>
          <w:rStyle w:val="9"/>
          <w:rFonts w:eastAsia="Arial Unicode MS"/>
          <w:sz w:val="24"/>
          <w:szCs w:val="24"/>
        </w:rPr>
        <w:t>. Briefly, an aliquot of plasma (50 µL) was added to 200 µL methanol (containing internal standard [</w:t>
      </w:r>
      <w:r>
        <w:rPr>
          <w:rStyle w:val="9"/>
          <w:rFonts w:eastAsia="Arial Unicode MS"/>
          <w:sz w:val="24"/>
          <w:szCs w:val="24"/>
          <w:vertAlign w:val="superscript"/>
        </w:rPr>
        <w:t>13</w:t>
      </w:r>
      <w:r>
        <w:rPr>
          <w:rStyle w:val="9"/>
          <w:rFonts w:eastAsia="Arial Unicode MS"/>
          <w:sz w:val="24"/>
          <w:szCs w:val="24"/>
        </w:rPr>
        <w:t>C2]-myristic acid, 2.5µg, 12.5 µg/m</w:t>
      </w:r>
      <w:r>
        <w:rPr>
          <w:rStyle w:val="9"/>
          <w:rFonts w:hint="eastAsia" w:eastAsia="Arial Unicode MS"/>
          <w:sz w:val="24"/>
          <w:szCs w:val="24"/>
        </w:rPr>
        <w:t>L</w:t>
      </w:r>
      <w:r>
        <w:rPr>
          <w:rStyle w:val="9"/>
          <w:rFonts w:eastAsia="Arial Unicode MS"/>
          <w:sz w:val="24"/>
          <w:szCs w:val="24"/>
        </w:rPr>
        <w:t xml:space="preserve">) for GC/MS analysis, and vigorously vortex-extracted for 5 min, and then placed in fridge at 4 ℃ for 1 hour. After centrifuging at 20000 g for 10 min in the SORVALL Biofuge Stratos centrifuge (Sollentum, Germany), a 200-μL aliquot of the supernatant were transferred into a GC vial and evaporated to dryness in a SpeedVac concentrator (Thermo Fisher Scientific, SavantTM SC250EXP, Holbrook, USA). </w:t>
      </w:r>
    </w:p>
    <w:p>
      <w:pPr>
        <w:pStyle w:val="7"/>
        <w:adjustRightInd w:val="0"/>
        <w:snapToGrid w:val="0"/>
        <w:spacing w:before="156" w:after="156"/>
        <w:ind w:firstLine="0" w:firstLineChars="0"/>
        <w:rPr>
          <w:rStyle w:val="9"/>
          <w:rFonts w:hint="eastAsia" w:eastAsia="Arial Unicode MS"/>
          <w:sz w:val="24"/>
          <w:szCs w:val="24"/>
        </w:rPr>
      </w:pPr>
      <w:r>
        <w:rPr>
          <w:rStyle w:val="9"/>
          <w:rFonts w:eastAsia="Arial Unicode MS"/>
          <w:sz w:val="24"/>
          <w:szCs w:val="24"/>
        </w:rPr>
        <w:t>For GC/MS analysis, the dried plasma samples were then methoxymated, where 30 μL of 1% methoxyamine pyridine solution were added to the residue and incubated for 16 h at room temperature. Then, the analytes were trimethylsilylated using 30 μL of MSTFA containing 1% v/v trimethylchlorosilane (TMCS) as a catalyst. After trimethylsilylation for 1 h, 30 μL of n-heptane containing methyl myristate (30 μg/mL) were added into each GC vial as external standard to monitor the stability of GC/S instruments. The final mixture (90 μL in total) was vortexed for 1 min and was then ready for GC/MS analysis.</w:t>
      </w:r>
    </w:p>
    <w:p>
      <w:pPr>
        <w:pStyle w:val="7"/>
        <w:adjustRightInd w:val="0"/>
        <w:snapToGrid w:val="0"/>
        <w:spacing w:before="156" w:after="156"/>
        <w:ind w:firstLine="0" w:firstLineChars="0"/>
        <w:rPr>
          <w:rStyle w:val="9"/>
          <w:rFonts w:hint="eastAsia" w:eastAsia="Arial Unicode MS"/>
          <w:sz w:val="24"/>
          <w:szCs w:val="24"/>
        </w:rPr>
      </w:pPr>
      <w:r>
        <w:rPr>
          <w:rStyle w:val="9"/>
          <w:rFonts w:eastAsia="Arial Unicode MS"/>
          <w:sz w:val="24"/>
          <w:szCs w:val="24"/>
        </w:rPr>
        <w:t xml:space="preserve">The derivatized samples were analyzed using gas chromatography coupled to a mass spectrometer (Shimadzu GCMS-QP2010 Ultra, Kyoto, Japan) equipped with an automatic sampler (Shimadzu AOC-20i, Kyoto, Japan). An 0.5-μL sample aliquot was injected into liner connected with the Rtx-5MS capillary column (0.25 mm × 30 m × 0.25 μm, Restek, PA, USA) in split mode(split ratio 8:1). The injector temperature was set at 250 °C. The septum purge was turned on with a flow rate of 6.0 mL/min. Helium was used as the carrier gas at a flow rate of 1.5 mL/min. The column temperature was initially maintained at 80 °C for 5 min, then raised to 300 °C at a rate of 20 °C/min, and held for 5 min. The mass spectrometer ion source temperature was 220 °C, and ionization was achieved with a 70 eV electron beam. Mass spectra were detected at -1570 v, obtained from m/z 50 to 700 in a full scan mode, with each run of 19 min and a solvent cutting acquisition at 4.5 min. The quality control (QC) samples were prepared for the pool of plasma, with the same preparation procedure as mentioned above. To minimize systematic variations, all samples were analysed at random order, with QC samples inserted. </w:t>
      </w:r>
    </w:p>
    <w:p>
      <w:pPr>
        <w:pStyle w:val="7"/>
        <w:adjustRightInd w:val="0"/>
        <w:snapToGrid w:val="0"/>
        <w:spacing w:before="156" w:after="156"/>
        <w:ind w:firstLine="0" w:firstLineChars="0"/>
        <w:rPr>
          <w:rStyle w:val="9"/>
          <w:rFonts w:hint="eastAsia" w:eastAsia="Arial Unicode MS"/>
          <w:b/>
          <w:bCs/>
          <w:sz w:val="24"/>
          <w:szCs w:val="24"/>
        </w:rPr>
      </w:pPr>
      <w:r>
        <w:rPr>
          <w:rFonts w:hint="eastAsia"/>
          <w:b/>
          <w:sz w:val="24"/>
        </w:rPr>
        <w:t>Method</w:t>
      </w:r>
      <w:r>
        <w:rPr>
          <w:rStyle w:val="9"/>
          <w:b/>
          <w:bCs/>
          <w:sz w:val="24"/>
          <w:szCs w:val="24"/>
        </w:rPr>
        <w:t xml:space="preserve"> </w:t>
      </w:r>
      <w:r>
        <w:rPr>
          <w:rStyle w:val="9"/>
          <w:rFonts w:hint="eastAsia"/>
          <w:b/>
          <w:bCs/>
          <w:sz w:val="24"/>
          <w:szCs w:val="24"/>
        </w:rPr>
        <w:t xml:space="preserve">S2 </w:t>
      </w:r>
      <w:r>
        <w:rPr>
          <w:rStyle w:val="9"/>
          <w:b/>
          <w:bCs/>
          <w:sz w:val="24"/>
          <w:szCs w:val="24"/>
        </w:rPr>
        <w:t xml:space="preserve">LC/MS analysis, instrumental setting and the parameters </w:t>
      </w:r>
    </w:p>
    <w:p>
      <w:pPr>
        <w:pStyle w:val="7"/>
        <w:adjustRightInd w:val="0"/>
        <w:snapToGrid w:val="0"/>
        <w:spacing w:before="156" w:after="156"/>
        <w:ind w:firstLine="0" w:firstLineChars="0"/>
        <w:rPr>
          <w:rStyle w:val="9"/>
          <w:rFonts w:hint="eastAsia" w:eastAsia="Arial Unicode MS"/>
          <w:sz w:val="24"/>
          <w:szCs w:val="24"/>
        </w:rPr>
      </w:pPr>
      <w:r>
        <w:rPr>
          <w:rStyle w:val="9"/>
          <w:rFonts w:eastAsia="Arial Unicode MS"/>
          <w:sz w:val="24"/>
          <w:szCs w:val="24"/>
        </w:rPr>
        <w:t>The plasma samples were pretreated and extracted in the same way as in GC/MS analysis with a few modifications, which used the other internal standard of 5-</w:t>
      </w:r>
      <w:r>
        <w:rPr>
          <w:rStyle w:val="9"/>
          <w:rFonts w:eastAsia="Arial Unicode MS"/>
          <w:sz w:val="24"/>
          <w:szCs w:val="24"/>
          <w:vertAlign w:val="superscript"/>
        </w:rPr>
        <w:t>13</w:t>
      </w:r>
      <w:r>
        <w:rPr>
          <w:rStyle w:val="9"/>
          <w:rFonts w:eastAsia="Arial Unicode MS"/>
          <w:sz w:val="24"/>
          <w:szCs w:val="24"/>
        </w:rPr>
        <w:t>C-glutamine dissolved in methanol at 15µg/m</w:t>
      </w:r>
      <w:r>
        <w:rPr>
          <w:rStyle w:val="9"/>
          <w:rFonts w:hint="eastAsia" w:eastAsia="Arial Unicode MS"/>
          <w:sz w:val="24"/>
          <w:szCs w:val="24"/>
        </w:rPr>
        <w:t>L</w:t>
      </w:r>
      <w:r>
        <w:rPr>
          <w:rStyle w:val="9"/>
          <w:rFonts w:eastAsia="Arial Unicode MS"/>
          <w:sz w:val="24"/>
          <w:szCs w:val="24"/>
        </w:rPr>
        <w:t xml:space="preserve">. After vortexing and centrifugation, the final supernatant was transferred into a LC vial. </w:t>
      </w:r>
    </w:p>
    <w:p>
      <w:pPr>
        <w:pStyle w:val="7"/>
        <w:adjustRightInd w:val="0"/>
        <w:snapToGrid w:val="0"/>
        <w:spacing w:before="156" w:after="156"/>
        <w:ind w:firstLine="0" w:firstLineChars="0"/>
        <w:rPr>
          <w:rStyle w:val="9"/>
          <w:rFonts w:hint="eastAsia" w:eastAsia="Arial Unicode MS"/>
          <w:sz w:val="24"/>
          <w:szCs w:val="24"/>
        </w:rPr>
      </w:pPr>
      <w:r>
        <w:rPr>
          <w:rStyle w:val="9"/>
          <w:rFonts w:eastAsia="Arial Unicode MS"/>
          <w:sz w:val="24"/>
          <w:szCs w:val="24"/>
        </w:rPr>
        <w:t>After evaporation, the residue was re-dissolved with 100 μL distilled water and centrifuged at 18,000 g for 5 min. Finally, 80 μL supernatant was transferred to an LC vial, and 10 μL was injected for UPLC-QTOF/MS analysis. Similarly, the QC samples were inserted and analyzed to check the stability of the system.</w:t>
      </w:r>
    </w:p>
    <w:p>
      <w:pPr>
        <w:pStyle w:val="7"/>
        <w:adjustRightInd w:val="0"/>
        <w:snapToGrid w:val="0"/>
        <w:spacing w:before="156" w:after="156"/>
        <w:ind w:firstLine="0" w:firstLineChars="0"/>
        <w:rPr>
          <w:rStyle w:val="9"/>
          <w:rFonts w:hint="eastAsia" w:eastAsia="Arial Unicode MS"/>
          <w:sz w:val="24"/>
          <w:szCs w:val="24"/>
        </w:rPr>
      </w:pPr>
      <w:r>
        <w:rPr>
          <w:rStyle w:val="9"/>
          <w:rFonts w:eastAsia="Arial Unicode MS"/>
          <w:sz w:val="24"/>
          <w:szCs w:val="24"/>
        </w:rPr>
        <w:t>The HPLC-QTOF/MS analysis was carried out as previously reported</w:t>
      </w:r>
      <w:r>
        <w:rPr>
          <w:rStyle w:val="9"/>
          <w:rFonts w:hint="eastAsia" w:eastAsia="Arial Unicode MS"/>
          <w:sz w:val="24"/>
          <w:szCs w:val="24"/>
          <w:u w:val="single"/>
        </w:rPr>
        <w:t>[2]</w:t>
      </w:r>
      <w:r>
        <w:rPr>
          <w:rStyle w:val="9"/>
          <w:rFonts w:eastAsia="Arial Unicode MS"/>
          <w:sz w:val="24"/>
          <w:szCs w:val="24"/>
        </w:rPr>
        <w:t>. The chromatographic separation of the analyses was achieved with an Amide XBridge HPLC column (3.5 µm; 4.6 mm × 100 mm; Waters, USA). The column temperature was set to 40°C. The HPLC system consisted with of a LC-30A binary pump, a SIL-30AC auto-sampler and a CTO-30AC column oven (Shimadzu, Japan) was coupled with a hybrid quadrupole time-of-flight tandem mass spectrometer (AB SCIEX TripleTOF® 5600, Foster City, CA). The mobile phase was composed of 5 mM ammonium acetate in ultra-pure water (pH=9.0±0.1 with ammonia) plus 5% acetonitrile (solvent A) and acetonitrile (solvent B). The mobile phase was delivered at 0.4 m</w:t>
      </w:r>
      <w:r>
        <w:rPr>
          <w:rStyle w:val="9"/>
          <w:rFonts w:hint="eastAsia" w:eastAsia="Arial Unicode MS"/>
          <w:sz w:val="24"/>
          <w:szCs w:val="24"/>
        </w:rPr>
        <w:t>L</w:t>
      </w:r>
      <w:r>
        <w:rPr>
          <w:rStyle w:val="9"/>
          <w:rFonts w:eastAsia="Arial Unicode MS"/>
          <w:sz w:val="24"/>
          <w:szCs w:val="24"/>
        </w:rPr>
        <w:t>/min using a solvent gradient as follows: 0-3 min, 85% B; 3-6 min, 85-30% B; 6-15 min, 30-2% B; 15-18 min, 2% B; 18-19 min, 2-85% B; and 19-26 min, 85% B. A Turbo V electrospray ionization (ESI) was used in MS detection with negative ion modes. In the ESI source, parameters were set as following: Gas1 pressure at 50 psi, Gas2 at 30 psi and Curtain Gas at 30 psi; Ion spray voltage was set at -4500 V; Turbo spray temperature at 500°C. Metabolic features were scanned in time of flight mass spectrometry over m/z 50–1000, and the product ion were scanned over m/z 50–900, with declustering potential at -100 V, and a collision energy at -35 V. The detected ions were all calibrated with the accurate masses of the reference standards containing Amino-dPEG®₄-acid(MW265.30, CAS: 663921-15-1), Amino-dPEG®6-acid(MW353.41, CAS: 905954-28-1) , Amino-dPEG®8-acid(MW441.51, CAS: 756526-04-2) , Amino-dPEG®12-acid(MW617.72, CAS: 756526-07-4) and sulfnpyrazone  (MW404.48, CAS: 57-96-5) , every eight samples.</w:t>
      </w:r>
    </w:p>
    <w:p>
      <w:pPr>
        <w:pStyle w:val="7"/>
        <w:adjustRightInd w:val="0"/>
        <w:snapToGrid w:val="0"/>
        <w:spacing w:before="156" w:after="156"/>
        <w:ind w:firstLine="0" w:firstLineChars="0"/>
        <w:rPr>
          <w:rStyle w:val="9"/>
          <w:rFonts w:hint="eastAsia" w:eastAsia="Arial Unicode MS"/>
          <w:sz w:val="24"/>
          <w:szCs w:val="24"/>
        </w:rPr>
      </w:pPr>
    </w:p>
    <w:p>
      <w:pPr>
        <w:pStyle w:val="7"/>
        <w:adjustRightInd w:val="0"/>
        <w:snapToGrid w:val="0"/>
        <w:spacing w:before="156" w:after="156"/>
        <w:ind w:firstLine="0" w:firstLineChars="0"/>
        <w:rPr>
          <w:b/>
          <w:bCs/>
        </w:rPr>
      </w:pPr>
      <w:r>
        <w:rPr>
          <w:rFonts w:hint="eastAsia"/>
          <w:b/>
          <w:sz w:val="24"/>
        </w:rPr>
        <w:t>Method</w:t>
      </w:r>
      <w:r>
        <w:rPr>
          <w:rStyle w:val="9"/>
          <w:b/>
          <w:bCs/>
          <w:sz w:val="24"/>
          <w:szCs w:val="24"/>
        </w:rPr>
        <w:t xml:space="preserve"> </w:t>
      </w:r>
      <w:r>
        <w:rPr>
          <w:rStyle w:val="9"/>
          <w:rFonts w:hint="eastAsia"/>
          <w:b/>
          <w:bCs/>
          <w:sz w:val="24"/>
          <w:szCs w:val="24"/>
        </w:rPr>
        <w:t xml:space="preserve">S3 </w:t>
      </w:r>
      <w:r>
        <w:rPr>
          <w:rFonts w:eastAsia="Arial Unicode MS"/>
          <w:b/>
          <w:bCs/>
          <w:sz w:val="24"/>
          <w:szCs w:val="24"/>
        </w:rPr>
        <w:t xml:space="preserve">Multivariate statistical analysis. </w:t>
      </w:r>
    </w:p>
    <w:p>
      <w:pPr>
        <w:pStyle w:val="6"/>
        <w:adjustRightInd w:val="0"/>
        <w:snapToGrid w:val="0"/>
        <w:spacing w:line="360" w:lineRule="auto"/>
        <w:ind w:firstLine="0"/>
        <w:rPr>
          <w:rFonts w:hint="eastAsia" w:ascii="Times New Roman" w:hAnsi="Times New Roman" w:eastAsia="Arial Unicode MS" w:cs="Times New Roman"/>
        </w:rPr>
      </w:pPr>
      <w:r>
        <w:rPr>
          <w:rFonts w:ascii="Times New Roman" w:hAnsi="Times New Roman" w:eastAsia="Arial Unicode MS" w:cs="Times New Roman"/>
        </w:rPr>
        <w:t>The data matrix was constructed and evaluated using SIMCA P software (version, 14.1, Umetrics, Umeå, Sweden), as reported previously</w:t>
      </w:r>
      <w:r>
        <w:rPr>
          <w:rFonts w:hint="eastAsia" w:ascii="Times New Roman" w:hAnsi="Times New Roman" w:eastAsia="Arial Unicode MS" w:cs="Times New Roman"/>
        </w:rPr>
        <w:t>[3]</w:t>
      </w:r>
      <w:r>
        <w:rPr>
          <w:rFonts w:ascii="Times New Roman" w:hAnsi="Times New Roman" w:eastAsia="Arial Unicode MS" w:cs="Times New Roman"/>
        </w:rPr>
        <w:t>.</w:t>
      </w:r>
      <w:r>
        <w:rPr>
          <w:rFonts w:hint="eastAsia" w:ascii="Times New Roman" w:hAnsi="Times New Roman" w:eastAsia="Arial Unicode MS" w:cs="Times New Roman"/>
        </w:rPr>
        <w:t xml:space="preserve"> Missing data were excluded as defect values. </w:t>
      </w:r>
      <w:r>
        <w:rPr>
          <w:rFonts w:ascii="Times New Roman" w:hAnsi="Times New Roman" w:eastAsia="Arial Unicode MS" w:cs="Times New Roman"/>
        </w:rPr>
        <w:t>For PCA and PLS-DA, all the data were mean-centered and UV scaled, while for OPLS-DA, the Pareoto scale was applied. For cross validation, the data were randomly divided into seven groups, with the data from six groups being used as the basic data for calculating the model and the data from the remaining group being used to check the prediction capacity to determine the number of principal components, where the number of principal components was determined once the Q</w:t>
      </w:r>
      <w:r>
        <w:rPr>
          <w:rFonts w:ascii="Times New Roman" w:hAnsi="Times New Roman" w:eastAsia="Arial Unicode MS" w:cs="Times New Roman"/>
          <w:vertAlign w:val="superscript"/>
        </w:rPr>
        <w:t>2</w:t>
      </w:r>
      <w:r>
        <w:rPr>
          <w:rFonts w:ascii="Times New Roman" w:hAnsi="Times New Roman" w:eastAsia="Arial Unicode MS" w:cs="Times New Roman"/>
        </w:rPr>
        <w:t>Y value decreased. Permutation tests were performed with 100 iterations to validate each model. Based on the data matrix, a PCA model is firstly conducted to provide an overview of the data set and to find the outlier(s). If serious outlier(s) was found, the sample(s) will be excluded from further modeling. The results of the PCA or PLS-DA or OPLS (DA) were displayed as score plots that visualized the clustering of the samples and indicated the similarity between samples. Closer clustering of the samples indicated higher compositional similarity, whereas further apart clustering represented diverse metabolomic compositions. PLS-DA was used to calculate models differentiating groups or classes. For PLS-DA modeling, samples from the different groups were classified such that all samples were divided into different groups (e.g., MIs, non-MIs, controls, etc) as the qualitative ‘dummy’ variables, Y. OPLS-DA maximizes the difference of groups, facilitates the output of S-plot and the identification of potential markers. The goodness of fit for the models was evaluated using three quantitative parameters: R</w:t>
      </w:r>
      <w:r>
        <w:rPr>
          <w:rFonts w:ascii="Times New Roman" w:hAnsi="Times New Roman" w:eastAsia="Arial Unicode MS" w:cs="Times New Roman"/>
          <w:vertAlign w:val="superscript"/>
        </w:rPr>
        <w:t>2</w:t>
      </w:r>
      <w:r>
        <w:rPr>
          <w:rFonts w:ascii="Times New Roman" w:hAnsi="Times New Roman" w:eastAsia="Arial Unicode MS" w:cs="Times New Roman"/>
        </w:rPr>
        <w:t>X was the explained variation in X, R</w:t>
      </w:r>
      <w:r>
        <w:rPr>
          <w:rFonts w:ascii="Times New Roman" w:hAnsi="Times New Roman" w:eastAsia="Arial Unicode MS" w:cs="Times New Roman"/>
          <w:vertAlign w:val="superscript"/>
        </w:rPr>
        <w:t>2</w:t>
      </w:r>
      <w:r>
        <w:rPr>
          <w:rFonts w:ascii="Times New Roman" w:hAnsi="Times New Roman" w:eastAsia="Arial Unicode MS" w:cs="Times New Roman"/>
        </w:rPr>
        <w:t>Y was the explained variation in Y and Q</w:t>
      </w:r>
      <w:r>
        <w:rPr>
          <w:rFonts w:ascii="Times New Roman" w:hAnsi="Times New Roman" w:eastAsia="Arial Unicode MS" w:cs="Times New Roman"/>
          <w:vertAlign w:val="superscript"/>
        </w:rPr>
        <w:t>2</w:t>
      </w:r>
      <w:r>
        <w:rPr>
          <w:rFonts w:ascii="Times New Roman" w:hAnsi="Times New Roman" w:eastAsia="Arial Unicode MS" w:cs="Times New Roman"/>
        </w:rPr>
        <w:t>Y was the predicted variation in Y. The range of these parameters was between 0 and 1, and the closer they were to 1, the better their ability to predict or explain. For permutation test, the higher level of R</w:t>
      </w:r>
      <w:r>
        <w:rPr>
          <w:rFonts w:ascii="Times New Roman" w:hAnsi="Times New Roman" w:eastAsia="Arial Unicode MS" w:cs="Times New Roman"/>
          <w:vertAlign w:val="superscript"/>
        </w:rPr>
        <w:t>2</w:t>
      </w:r>
      <w:r>
        <w:rPr>
          <w:rFonts w:ascii="Times New Roman" w:hAnsi="Times New Roman" w:eastAsia="Arial Unicode MS" w:cs="Times New Roman"/>
        </w:rPr>
        <w:t>Y and Q</w:t>
      </w:r>
      <w:r>
        <w:rPr>
          <w:rFonts w:ascii="Times New Roman" w:hAnsi="Times New Roman" w:eastAsia="Arial Unicode MS" w:cs="Times New Roman"/>
          <w:vertAlign w:val="superscript"/>
        </w:rPr>
        <w:t>2</w:t>
      </w:r>
      <w:r>
        <w:rPr>
          <w:rFonts w:ascii="Times New Roman" w:hAnsi="Times New Roman" w:eastAsia="Arial Unicode MS" w:cs="Times New Roman"/>
        </w:rPr>
        <w:t>Y, and lower value of the intercept of R</w:t>
      </w:r>
      <w:r>
        <w:rPr>
          <w:rFonts w:ascii="Times New Roman" w:hAnsi="Times New Roman" w:eastAsia="Arial Unicode MS" w:cs="Times New Roman"/>
          <w:vertAlign w:val="superscript"/>
        </w:rPr>
        <w:t>2</w:t>
      </w:r>
      <w:r>
        <w:rPr>
          <w:rFonts w:ascii="Times New Roman" w:hAnsi="Times New Roman" w:eastAsia="Arial Unicode MS" w:cs="Times New Roman"/>
        </w:rPr>
        <w:t xml:space="preserve"> (lower than 0.2) and Q</w:t>
      </w:r>
      <w:r>
        <w:rPr>
          <w:rFonts w:ascii="Times New Roman" w:hAnsi="Times New Roman" w:eastAsia="Arial Unicode MS" w:cs="Times New Roman"/>
          <w:vertAlign w:val="superscript"/>
        </w:rPr>
        <w:t>2</w:t>
      </w:r>
      <w:r>
        <w:rPr>
          <w:rFonts w:ascii="Times New Roman" w:hAnsi="Times New Roman" w:eastAsia="Arial Unicode MS" w:cs="Times New Roman"/>
        </w:rPr>
        <w:t xml:space="preserve"> (lower than 0.0) suggested good model and prediction ability. </w:t>
      </w:r>
    </w:p>
    <w:p>
      <w:pPr>
        <w:pStyle w:val="6"/>
        <w:adjustRightInd w:val="0"/>
        <w:snapToGrid w:val="0"/>
        <w:spacing w:line="360" w:lineRule="auto"/>
        <w:ind w:firstLine="0"/>
        <w:rPr>
          <w:rFonts w:ascii="Times New Roman" w:hAnsi="Times New Roman" w:eastAsia="Arial Unicode MS" w:cs="Times New Roman"/>
        </w:rPr>
      </w:pPr>
    </w:p>
    <w:p>
      <w:pPr>
        <w:pStyle w:val="7"/>
        <w:adjustRightInd w:val="0"/>
        <w:snapToGrid w:val="0"/>
        <w:spacing w:before="156" w:after="156"/>
        <w:ind w:firstLine="0" w:firstLineChars="0"/>
        <w:rPr>
          <w:rFonts w:eastAsia="Arial Unicode MS"/>
          <w:b/>
          <w:bCs/>
          <w:sz w:val="24"/>
          <w:szCs w:val="24"/>
        </w:rPr>
      </w:pPr>
      <w:r>
        <w:rPr>
          <w:rFonts w:hint="eastAsia"/>
          <w:b/>
          <w:sz w:val="24"/>
        </w:rPr>
        <w:t>Method</w:t>
      </w:r>
      <w:r>
        <w:rPr>
          <w:rStyle w:val="9"/>
          <w:b/>
          <w:bCs/>
          <w:sz w:val="24"/>
          <w:szCs w:val="24"/>
        </w:rPr>
        <w:t xml:space="preserve"> </w:t>
      </w:r>
      <w:r>
        <w:rPr>
          <w:rStyle w:val="9"/>
          <w:rFonts w:hint="eastAsia"/>
          <w:b/>
          <w:bCs/>
          <w:sz w:val="24"/>
          <w:szCs w:val="24"/>
        </w:rPr>
        <w:t xml:space="preserve">S4 </w:t>
      </w:r>
      <w:r>
        <w:rPr>
          <w:rFonts w:eastAsia="Arial Unicode MS"/>
          <w:b/>
          <w:bCs/>
          <w:sz w:val="24"/>
          <w:szCs w:val="24"/>
        </w:rPr>
        <w:t xml:space="preserve">Metabolic pathways analysis </w:t>
      </w:r>
    </w:p>
    <w:p>
      <w:pPr>
        <w:pStyle w:val="6"/>
        <w:adjustRightInd w:val="0"/>
        <w:snapToGrid w:val="0"/>
        <w:spacing w:line="360" w:lineRule="auto"/>
        <w:ind w:firstLine="0"/>
        <w:rPr>
          <w:rFonts w:hint="eastAsia" w:ascii="Times New Roman" w:hAnsi="Times New Roman" w:eastAsia="Arial Unicode MS" w:cs="Times New Roman"/>
        </w:rPr>
      </w:pPr>
      <w:r>
        <w:rPr>
          <w:rFonts w:ascii="Times New Roman" w:hAnsi="Times New Roman" w:eastAsia="Arial Unicode MS" w:cs="Times New Roman"/>
        </w:rPr>
        <w:t xml:space="preserve">Discriminatory compounds between two groups were extracted from loading plots constructed following the PLS-DA analysis. Compounds were chosen based on the statistical analysis and their contributions to the variation in the models. Metabolic pathway enrichment and topology analyses were performed using Metaboanalyst 3(https://www.metaboanalyst.ca/). The </w:t>
      </w:r>
      <w:bookmarkStart w:id="0" w:name="OLE_LINK77"/>
      <w:bookmarkEnd w:id="0"/>
      <w:bookmarkStart w:id="1" w:name="OLE_LINK78"/>
      <w:r>
        <w:rPr>
          <w:rFonts w:ascii="Times New Roman" w:hAnsi="Times New Roman" w:eastAsia="Arial Unicode MS" w:cs="Times New Roman"/>
        </w:rPr>
        <w:t>KEGG ID of discriminatory compounds</w:t>
      </w:r>
      <w:bookmarkEnd w:id="1"/>
      <w:r>
        <w:rPr>
          <w:rFonts w:ascii="Times New Roman" w:hAnsi="Times New Roman" w:eastAsia="Arial Unicode MS" w:cs="Times New Roman"/>
        </w:rPr>
        <w:t xml:space="preserve"> were uploaded and embedded in human pathway library for pathway analysis and hypergeometric tests, with the pathway analysis algorithms of Fisher's Exact Test, a pathway topology algorithms of Relative-betweeness Centrality, and KEGG pathway library version of Homo sapiens. A result report was then presented graphically as well as in a detailed table. Potential biomarkers were identified based on the identified metabolic pathways in databases such as KEGG (http://www.genome.jp/kegg/), HMDB (</w:t>
      </w:r>
      <w:r>
        <w:fldChar w:fldCharType="begin"/>
      </w:r>
      <w:r>
        <w:instrText xml:space="preserve"> HYPERLINK "http://www.hmdb.ca/" </w:instrText>
      </w:r>
      <w:r>
        <w:fldChar w:fldCharType="separate"/>
      </w:r>
      <w:r>
        <w:rPr>
          <w:rStyle w:val="8"/>
          <w:rFonts w:ascii="Times New Roman" w:hAnsi="Times New Roman" w:eastAsia="Arial Unicode MS" w:cs="Times New Roman"/>
        </w:rPr>
        <w:t>http://www.hmdb.ca/</w:t>
      </w:r>
      <w:r>
        <w:rPr>
          <w:rStyle w:val="8"/>
          <w:rFonts w:ascii="Times New Roman" w:hAnsi="Times New Roman" w:eastAsia="Arial Unicode MS" w:cs="Times New Roman"/>
        </w:rPr>
        <w:fldChar w:fldCharType="end"/>
      </w:r>
      <w:r>
        <w:rPr>
          <w:rFonts w:ascii="Times New Roman" w:hAnsi="Times New Roman" w:eastAsia="Arial Unicode MS" w:cs="Times New Roman"/>
        </w:rPr>
        <w:t>) and LipidMaps (</w:t>
      </w:r>
      <w:r>
        <w:fldChar w:fldCharType="begin"/>
      </w:r>
      <w:r>
        <w:instrText xml:space="preserve"> HYPERLINK "http://www.lipidmaps.org/" </w:instrText>
      </w:r>
      <w:r>
        <w:fldChar w:fldCharType="separate"/>
      </w:r>
      <w:r>
        <w:rPr>
          <w:rStyle w:val="8"/>
          <w:rFonts w:ascii="Times New Roman" w:hAnsi="Times New Roman" w:eastAsia="Arial Unicode MS" w:cs="Times New Roman"/>
        </w:rPr>
        <w:t>http://www.lipidmaps.org/</w:t>
      </w:r>
      <w:r>
        <w:rPr>
          <w:rStyle w:val="8"/>
          <w:rFonts w:ascii="Times New Roman" w:hAnsi="Times New Roman" w:eastAsia="Arial Unicode MS" w:cs="Times New Roman"/>
        </w:rPr>
        <w:fldChar w:fldCharType="end"/>
      </w:r>
      <w:r>
        <w:rPr>
          <w:rFonts w:ascii="Times New Roman" w:hAnsi="Times New Roman" w:eastAsia="Arial Unicode MS" w:cs="Times New Roman"/>
        </w:rPr>
        <w:t xml:space="preserve">). </w:t>
      </w:r>
    </w:p>
    <w:p>
      <w:pPr>
        <w:pStyle w:val="6"/>
        <w:adjustRightInd w:val="0"/>
        <w:snapToGrid w:val="0"/>
        <w:spacing w:line="360" w:lineRule="auto"/>
        <w:ind w:firstLine="0"/>
        <w:rPr>
          <w:rFonts w:hint="eastAsia" w:ascii="Times New Roman" w:hAnsi="Times New Roman" w:eastAsia="Arial Unicode MS" w:cs="Times New Roman"/>
        </w:rPr>
      </w:pPr>
    </w:p>
    <w:p>
      <w:pPr>
        <w:pStyle w:val="6"/>
        <w:adjustRightInd w:val="0"/>
        <w:snapToGrid w:val="0"/>
        <w:spacing w:line="360" w:lineRule="auto"/>
        <w:ind w:firstLine="0"/>
        <w:rPr>
          <w:rFonts w:hint="eastAsia" w:ascii="Times New Roman" w:hAnsi="Times New Roman" w:eastAsia="Arial Unicode MS" w:cs="Times New Roman"/>
          <w:b/>
        </w:rPr>
      </w:pPr>
      <w:r>
        <w:rPr>
          <w:rFonts w:ascii="Times New Roman" w:hAnsi="Times New Roman" w:eastAsia="Arial Unicode MS" w:cs="Times New Roman"/>
          <w:b/>
        </w:rPr>
        <w:t>R</w:t>
      </w:r>
      <w:r>
        <w:rPr>
          <w:rFonts w:hint="eastAsia" w:ascii="Times New Roman" w:hAnsi="Times New Roman" w:eastAsia="Arial Unicode MS" w:cs="Times New Roman"/>
          <w:b/>
        </w:rPr>
        <w:t xml:space="preserve">eferences </w:t>
      </w:r>
    </w:p>
    <w:p>
      <w:pPr>
        <w:pStyle w:val="6"/>
        <w:adjustRightInd w:val="0"/>
        <w:snapToGrid w:val="0"/>
        <w:spacing w:line="360" w:lineRule="auto"/>
        <w:ind w:firstLine="0"/>
        <w:rPr>
          <w:rStyle w:val="13"/>
          <w:rFonts w:hint="eastAsia"/>
        </w:rPr>
      </w:pPr>
      <w:r>
        <w:rPr>
          <w:rStyle w:val="13"/>
        </w:rPr>
        <w:t>[1] J. A, J. Trygg, J. Gullberg, A.I. Johansson, P. Jonsson, H. Antti, S.L. Marklund, T. Moritz, Extraction and GC/MS analysis of the human</w:t>
      </w:r>
      <w:r>
        <w:rPr>
          <w:rFonts w:hint="eastAsia" w:ascii="Times New Roman" w:hAnsi="Times New Roman" w:cs="Times New Roman"/>
          <w:color w:val="000000"/>
        </w:rPr>
        <w:t xml:space="preserve"> </w:t>
      </w:r>
      <w:r>
        <w:rPr>
          <w:rStyle w:val="13"/>
        </w:rPr>
        <w:t>blood plasma metabolome, Anal Chem, 2005, 77: 8086-8094.</w:t>
      </w:r>
      <w:r>
        <w:rPr>
          <w:rFonts w:ascii="Times New Roman" w:hAnsi="Times New Roman" w:cs="Times New Roman"/>
          <w:color w:val="000000"/>
        </w:rPr>
        <w:br w:type="textWrapping"/>
      </w:r>
      <w:r>
        <w:rPr>
          <w:rStyle w:val="13"/>
        </w:rPr>
        <w:t>[</w:t>
      </w:r>
      <w:r>
        <w:rPr>
          <w:rStyle w:val="13"/>
          <w:rFonts w:hint="eastAsia"/>
        </w:rPr>
        <w:t>2</w:t>
      </w:r>
      <w:r>
        <w:rPr>
          <w:rStyle w:val="13"/>
        </w:rPr>
        <w:t>] Y. Zhang, W. Lu, Z. Wang, R. Zhang, Y. Xie, S. Guo, L. Jiao, Y. Hong, Z. Di, G. Wang, J. Aa, Reduced Neuronal cAMP in the Nucleus</w:t>
      </w:r>
      <w:r>
        <w:rPr>
          <w:rStyle w:val="13"/>
          <w:rFonts w:hint="eastAsia"/>
        </w:rPr>
        <w:t xml:space="preserve"> </w:t>
      </w:r>
      <w:r>
        <w:rPr>
          <w:rStyle w:val="13"/>
        </w:rPr>
        <w:t>Accumbens Damages Blood-Brain Barrier Integrity and Promotes Stress Vulnerability, Biological psychiatry, 2020, 87: 526-537</w:t>
      </w:r>
    </w:p>
    <w:p>
      <w:pPr>
        <w:pStyle w:val="6"/>
        <w:adjustRightInd w:val="0"/>
        <w:snapToGrid w:val="0"/>
        <w:spacing w:line="360" w:lineRule="auto"/>
        <w:ind w:firstLine="0"/>
        <w:rPr>
          <w:rFonts w:ascii="Times New Roman" w:hAnsi="Times New Roman" w:eastAsia="Arial Unicode MS" w:cs="Times New Roman"/>
        </w:rPr>
      </w:pPr>
      <w:r>
        <w:rPr>
          <w:rStyle w:val="13"/>
        </w:rPr>
        <w:t>[</w:t>
      </w:r>
      <w:r>
        <w:rPr>
          <w:rStyle w:val="13"/>
          <w:rFonts w:hint="eastAsia"/>
        </w:rPr>
        <w:t>3</w:t>
      </w:r>
      <w:r>
        <w:rPr>
          <w:rStyle w:val="13"/>
        </w:rPr>
        <w:t xml:space="preserve">] </w:t>
      </w:r>
      <w:r>
        <w:rPr>
          <w:rStyle w:val="13"/>
          <w:rFonts w:hint="eastAsia"/>
        </w:rPr>
        <w:t xml:space="preserve">J. </w:t>
      </w:r>
      <w:r>
        <w:rPr>
          <w:rStyle w:val="13"/>
        </w:rPr>
        <w:t xml:space="preserve">Trygg, </w:t>
      </w:r>
      <w:r>
        <w:rPr>
          <w:rStyle w:val="13"/>
          <w:rFonts w:hint="eastAsia"/>
        </w:rPr>
        <w:t xml:space="preserve">E. </w:t>
      </w:r>
      <w:r>
        <w:rPr>
          <w:rStyle w:val="13"/>
        </w:rPr>
        <w:t xml:space="preserve">Holmes, </w:t>
      </w:r>
      <w:r>
        <w:rPr>
          <w:rStyle w:val="13"/>
          <w:rFonts w:hint="eastAsia"/>
        </w:rPr>
        <w:t xml:space="preserve">T. </w:t>
      </w:r>
      <w:r>
        <w:rPr>
          <w:rStyle w:val="13"/>
        </w:rPr>
        <w:t>Lundstedt. Chemometrics in metabonomics</w:t>
      </w:r>
      <w:r>
        <w:rPr>
          <w:rStyle w:val="13"/>
          <w:rFonts w:hint="eastAsia"/>
        </w:rPr>
        <w:t>,</w:t>
      </w:r>
      <w:r>
        <w:rPr>
          <w:rStyle w:val="13"/>
        </w:rPr>
        <w:t xml:space="preserve"> Journal of Proteome Research, 2007</w:t>
      </w:r>
      <w:r>
        <w:rPr>
          <w:rStyle w:val="13"/>
          <w:rFonts w:hint="eastAsia"/>
        </w:rPr>
        <w:t xml:space="preserve">, </w:t>
      </w:r>
      <w:r>
        <w:rPr>
          <w:rStyle w:val="13"/>
        </w:rPr>
        <w:t>6</w:t>
      </w:r>
      <w:r>
        <w:rPr>
          <w:rStyle w:val="13"/>
          <w:rFonts w:hint="eastAsia"/>
        </w:rPr>
        <w:t xml:space="preserve">: </w:t>
      </w:r>
      <w:r>
        <w:rPr>
          <w:rStyle w:val="13"/>
        </w:rPr>
        <w:t>469–479.</w:t>
      </w:r>
      <w:r>
        <w:rPr>
          <w:rStyle w:val="13"/>
          <w:rFonts w:hint="eastAsia"/>
        </w:rPr>
        <w:t xml:space="preserve"> </w:t>
      </w:r>
      <w:r>
        <w:rPr>
          <w:rStyle w:val="13"/>
        </w:rPr>
        <w:br w:type="textWrapping"/>
      </w:r>
    </w:p>
    <w:sectPr>
      <w:pgSz w:w="11906" w:h="16838"/>
      <w:pgMar w:top="1435" w:right="1304" w:bottom="1435" w:left="1304" w:header="851" w:footer="992" w:gutter="57"/>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Times">
    <w:altName w:val="Times New Roman"/>
    <w:panose1 w:val="02020603050405020304"/>
    <w:charset w:val="00"/>
    <w:family w:val="roman"/>
    <w:pitch w:val="default"/>
    <w:sig w:usb0="00000000" w:usb1="00000000" w:usb2="00000009" w:usb3="00000000" w:csb0="000001FF" w:csb1="00000000"/>
  </w:font>
  <w:font w:name="AdvOT46dcae81">
    <w:altName w:val="Times New Roman"/>
    <w:panose1 w:val="00000000000000000000"/>
    <w:charset w:val="00"/>
    <w:family w:val="auto"/>
    <w:pitch w:val="default"/>
    <w:sig w:usb0="00000000" w:usb1="00000000" w:usb2="00000000" w:usb3="00000000" w:csb0="00000000" w:csb1="00000000"/>
  </w:font>
  <w:font w:name="STIX-Italic">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321F"/>
    <w:rsid w:val="001A4B4A"/>
    <w:rsid w:val="001F460E"/>
    <w:rsid w:val="00281D01"/>
    <w:rsid w:val="0032321F"/>
    <w:rsid w:val="00324E84"/>
    <w:rsid w:val="00391E76"/>
    <w:rsid w:val="00733712"/>
    <w:rsid w:val="00BE1F0A"/>
    <w:rsid w:val="00C73ECD"/>
    <w:rsid w:val="00F91884"/>
    <w:rsid w:val="26065C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12"/>
    <w:unhideWhenUsed/>
    <w:uiPriority w:val="99"/>
    <w:pPr>
      <w:tabs>
        <w:tab w:val="center" w:pos="4153"/>
        <w:tab w:val="right" w:pos="8306"/>
      </w:tabs>
      <w:snapToGrid w:val="0"/>
      <w:jc w:val="left"/>
    </w:pPr>
    <w:rPr>
      <w:sz w:val="18"/>
      <w:szCs w:val="18"/>
    </w:rPr>
  </w:style>
  <w:style w:type="paragraph" w:styleId="3">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customStyle="1" w:styleId="6">
    <w:name w:val="TA_Main_Text"/>
    <w:basedOn w:val="1"/>
    <w:link w:val="10"/>
    <w:qFormat/>
    <w:uiPriority w:val="99"/>
    <w:pPr>
      <w:widowControl/>
      <w:spacing w:line="480" w:lineRule="auto"/>
      <w:ind w:firstLine="202"/>
    </w:pPr>
    <w:rPr>
      <w:rFonts w:ascii="Times" w:hAnsi="Times" w:eastAsia="宋体" w:cs="Times"/>
      <w:kern w:val="0"/>
      <w:sz w:val="24"/>
      <w:szCs w:val="24"/>
    </w:rPr>
  </w:style>
  <w:style w:type="paragraph" w:customStyle="1" w:styleId="7">
    <w:name w:val="文章写作"/>
    <w:basedOn w:val="1"/>
    <w:qFormat/>
    <w:uiPriority w:val="0"/>
    <w:pPr>
      <w:spacing w:beforeLines="50" w:afterLines="50" w:line="360" w:lineRule="auto"/>
      <w:ind w:firstLine="200" w:firstLineChars="200"/>
    </w:pPr>
    <w:rPr>
      <w:rFonts w:ascii="Times New Roman" w:hAnsi="Times New Roman" w:eastAsia="宋体" w:cs="Times New Roman"/>
      <w:sz w:val="28"/>
      <w:szCs w:val="28"/>
    </w:rPr>
  </w:style>
  <w:style w:type="character" w:customStyle="1" w:styleId="8">
    <w:name w:val="15"/>
    <w:basedOn w:val="5"/>
    <w:uiPriority w:val="0"/>
    <w:rPr>
      <w:rFonts w:hint="default" w:ascii="Calibri" w:hAnsi="Calibri" w:cs="Calibri"/>
      <w:color w:val="0563C1"/>
      <w:u w:val="single"/>
    </w:rPr>
  </w:style>
  <w:style w:type="character" w:customStyle="1" w:styleId="9">
    <w:name w:val="16"/>
    <w:basedOn w:val="5"/>
    <w:uiPriority w:val="0"/>
    <w:rPr>
      <w:rFonts w:hint="default" w:ascii="AdvOT46dcae81" w:hAnsi="AdvOT46dcae81"/>
      <w:color w:val="000000"/>
      <w:sz w:val="18"/>
      <w:szCs w:val="18"/>
    </w:rPr>
  </w:style>
  <w:style w:type="character" w:customStyle="1" w:styleId="10">
    <w:name w:val="TA_Main_Text Char"/>
    <w:basedOn w:val="5"/>
    <w:link w:val="6"/>
    <w:uiPriority w:val="99"/>
    <w:rPr>
      <w:rFonts w:ascii="Times" w:hAnsi="Times" w:eastAsia="宋体" w:cs="Times"/>
      <w:kern w:val="0"/>
      <w:sz w:val="24"/>
      <w:szCs w:val="24"/>
    </w:rPr>
  </w:style>
  <w:style w:type="character" w:customStyle="1" w:styleId="11">
    <w:name w:val="页眉 Char"/>
    <w:basedOn w:val="5"/>
    <w:link w:val="3"/>
    <w:uiPriority w:val="99"/>
    <w:rPr>
      <w:sz w:val="18"/>
      <w:szCs w:val="18"/>
    </w:rPr>
  </w:style>
  <w:style w:type="character" w:customStyle="1" w:styleId="12">
    <w:name w:val="页脚 Char"/>
    <w:basedOn w:val="5"/>
    <w:link w:val="2"/>
    <w:uiPriority w:val="99"/>
    <w:rPr>
      <w:sz w:val="18"/>
      <w:szCs w:val="18"/>
    </w:rPr>
  </w:style>
  <w:style w:type="character" w:customStyle="1" w:styleId="13">
    <w:name w:val="fontstyle01"/>
    <w:basedOn w:val="5"/>
    <w:uiPriority w:val="0"/>
    <w:rPr>
      <w:rFonts w:hint="default" w:ascii="Times New Roman" w:hAnsi="Times New Roman" w:cs="Times New Roman"/>
      <w:color w:val="000000"/>
      <w:sz w:val="24"/>
      <w:szCs w:val="24"/>
    </w:rPr>
  </w:style>
  <w:style w:type="character" w:customStyle="1" w:styleId="14">
    <w:name w:val="fontstyle21"/>
    <w:basedOn w:val="5"/>
    <w:uiPriority w:val="0"/>
    <w:rPr>
      <w:rFonts w:hint="default" w:ascii="STIX-Italic" w:hAnsi="STIX-Italic"/>
      <w:i/>
      <w:iCs/>
      <w:color w:val="00000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1346</Words>
  <Characters>7675</Characters>
  <Lines>63</Lines>
  <Paragraphs>18</Paragraphs>
  <TotalTime>1</TotalTime>
  <ScaleCrop>false</ScaleCrop>
  <LinksUpToDate>false</LinksUpToDate>
  <CharactersWithSpaces>9003</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2020-09-05T23:18:00Z</dcterms:created>
  <dc:creator>Windows 用户</dc:creator>
  <cp:lastModifiedBy>阿楠⊙▽⊙</cp:lastModifiedBy>
  <dcterms:modified xsi:type="dcterms:W3CDTF">2020-09-05T23:04:27Z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