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7E6D" w:rsidRDefault="00C62809">
      <w:pPr>
        <w:jc w:val="center"/>
        <w:rPr>
          <w:rFonts w:ascii="Times New Roman" w:hAnsi="Times New Roman" w:cs="Times New Roman"/>
          <w:b/>
          <w:bCs/>
          <w:sz w:val="32"/>
        </w:rPr>
      </w:pPr>
      <w:r>
        <w:rPr>
          <w:rFonts w:ascii="Times New Roman" w:hAnsi="Times New Roman" w:cs="Times New Roman" w:hint="eastAsia"/>
          <w:b/>
          <w:bCs/>
          <w:sz w:val="32"/>
        </w:rPr>
        <w:t>Supplementary Tables</w:t>
      </w:r>
    </w:p>
    <w:p w:rsidR="00E97E6D" w:rsidRDefault="00E97E6D">
      <w:pPr>
        <w:rPr>
          <w:rFonts w:ascii="Times New Roman" w:hAnsi="Times New Roman" w:cs="Times New Roman"/>
          <w:b/>
          <w:bCs/>
          <w:sz w:val="24"/>
        </w:rPr>
      </w:pPr>
    </w:p>
    <w:p w:rsidR="00E97E6D" w:rsidRDefault="00E97E6D">
      <w:pPr>
        <w:rPr>
          <w:rFonts w:ascii="Times New Roman" w:hAnsi="Times New Roman" w:cs="Times New Roman"/>
          <w:b/>
          <w:bCs/>
          <w:sz w:val="24"/>
        </w:rPr>
      </w:pPr>
    </w:p>
    <w:p w:rsidR="00E97E6D" w:rsidRDefault="00E97E6D">
      <w:pPr>
        <w:rPr>
          <w:rFonts w:ascii="Times New Roman" w:hAnsi="Times New Roman" w:cs="Times New Roman"/>
          <w:b/>
          <w:bCs/>
          <w:sz w:val="24"/>
        </w:rPr>
      </w:pPr>
    </w:p>
    <w:p w:rsidR="00E97E6D" w:rsidRDefault="00C62809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ab/>
      </w:r>
      <w:r>
        <w:rPr>
          <w:rFonts w:ascii="Times New Roman" w:hAnsi="Times New Roman" w:cs="Times New Roman"/>
          <w:b/>
          <w:bCs/>
          <w:sz w:val="24"/>
        </w:rPr>
        <w:tab/>
      </w:r>
      <w:r>
        <w:rPr>
          <w:rFonts w:ascii="Times New Roman" w:hAnsi="Times New Roman" w:cs="Times New Roman"/>
          <w:b/>
          <w:bCs/>
          <w:sz w:val="24"/>
        </w:rPr>
        <w:tab/>
      </w:r>
    </w:p>
    <w:p w:rsidR="00E97E6D" w:rsidRDefault="00C62809">
      <w:pPr>
        <w:adjustRightInd w:val="0"/>
        <w:snapToGrid w:val="0"/>
        <w:spacing w:line="480" w:lineRule="auto"/>
        <w:ind w:left="995" w:hangingChars="413" w:hanging="995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S1 The identified endogenous compounds in plasma using GC/MS system </w:t>
      </w:r>
    </w:p>
    <w:p w:rsidR="00E97E6D" w:rsidRDefault="00C62809">
      <w:pPr>
        <w:adjustRightInd w:val="0"/>
        <w:snapToGrid w:val="0"/>
        <w:spacing w:line="480" w:lineRule="auto"/>
        <w:ind w:left="995" w:hangingChars="413" w:hanging="995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S2 The identified endogenous compounds in plasma using LC/MS system </w:t>
      </w:r>
    </w:p>
    <w:p w:rsidR="00E97E6D" w:rsidRDefault="00C62809">
      <w:pPr>
        <w:adjustRightInd w:val="0"/>
        <w:snapToGrid w:val="0"/>
        <w:spacing w:line="480" w:lineRule="auto"/>
        <w:ind w:left="995" w:hangingChars="413" w:hanging="995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Pearson correlation analysis of homoserine, homocysteine, methionine and deoxyuridine to the traditional risk factors</w:t>
      </w:r>
    </w:p>
    <w:p w:rsidR="00E97E6D" w:rsidRDefault="00C62809">
      <w:pPr>
        <w:widowControl/>
        <w:adjustRightInd w:val="0"/>
        <w:snapToGrid w:val="0"/>
        <w:spacing w:line="480" w:lineRule="auto"/>
        <w:ind w:left="995" w:hangingChars="413" w:hanging="995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bCs/>
          <w:sz w:val="24"/>
          <w:szCs w:val="24"/>
        </w:rPr>
        <w:t>metabolites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d</w:t>
      </w:r>
      <w:r>
        <w:rPr>
          <w:rFonts w:ascii="Times New Roman" w:hAnsi="Times New Roman" w:cs="Times New Roman"/>
          <w:b/>
          <w:bCs/>
          <w:sz w:val="24"/>
          <w:szCs w:val="24"/>
        </w:rPr>
        <w:t>ifferenti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ating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NT-proBNP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positive from negative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(+/-)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of the </w:t>
      </w:r>
      <w:r>
        <w:rPr>
          <w:rFonts w:ascii="Times New Roman" w:hAnsi="Times New Roman" w:cs="Times New Roman"/>
          <w:b/>
          <w:bCs/>
          <w:sz w:val="24"/>
          <w:szCs w:val="24"/>
        </w:rPr>
        <w:t>chest pain cases</w:t>
      </w:r>
    </w:p>
    <w:p w:rsidR="00E97E6D" w:rsidRDefault="00C62809">
      <w:pPr>
        <w:adjustRightInd w:val="0"/>
        <w:snapToGrid w:val="0"/>
        <w:spacing w:line="480" w:lineRule="auto"/>
        <w:ind w:left="995" w:hangingChars="413" w:hanging="995"/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bidi="ar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bidi="ar"/>
        </w:rPr>
        <w:t>Table S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:lang w:bidi="ar"/>
        </w:rPr>
        <w:t>5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bidi="ar"/>
        </w:rPr>
        <w:t xml:space="preserve"> OR of traditional CAD ri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bidi="ar"/>
        </w:rPr>
        <w:t>sk factors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:lang w:bidi="ar"/>
        </w:rPr>
        <w:t xml:space="preserve">  </w:t>
      </w:r>
    </w:p>
    <w:p w:rsidR="00E97E6D" w:rsidRDefault="00E97E6D">
      <w:pPr>
        <w:spacing w:after="240"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E97E6D" w:rsidRDefault="00E97E6D">
      <w:pPr>
        <w:rPr>
          <w:rFonts w:ascii="Times New Roman" w:hAnsi="Times New Roman" w:cs="Times New Roman"/>
          <w:sz w:val="24"/>
          <w:szCs w:val="24"/>
        </w:rPr>
      </w:pPr>
    </w:p>
    <w:p w:rsidR="00E97E6D" w:rsidRDefault="00E97E6D">
      <w:pPr>
        <w:rPr>
          <w:rFonts w:ascii="Times New Roman" w:hAnsi="Times New Roman" w:cs="Times New Roman"/>
          <w:sz w:val="24"/>
          <w:szCs w:val="24"/>
        </w:rPr>
      </w:pPr>
    </w:p>
    <w:p w:rsidR="00E97E6D" w:rsidRDefault="00C6280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E97E6D" w:rsidRDefault="00E97E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E97E6D" w:rsidRDefault="00E97E6D">
      <w:pPr>
        <w:rPr>
          <w:rFonts w:ascii="Times New Roman" w:hAnsi="Times New Roman" w:cs="Times New Roman"/>
          <w:sz w:val="24"/>
          <w:szCs w:val="24"/>
        </w:rPr>
      </w:pPr>
    </w:p>
    <w:p w:rsidR="00E97E6D" w:rsidRDefault="00C628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97E6D" w:rsidRDefault="00C62809">
      <w:pPr>
        <w:spacing w:after="240" w:line="276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</w:t>
      </w:r>
      <w:r>
        <w:rPr>
          <w:rFonts w:ascii="Times New Roman" w:hAnsi="Times New Roman" w:cs="Times New Roman"/>
          <w:b/>
          <w:sz w:val="24"/>
          <w:szCs w:val="24"/>
        </w:rPr>
        <w:t xml:space="preserve"> The identified endogenous compounds in plasma using GC/MS system 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3162"/>
        <w:gridCol w:w="2219"/>
        <w:gridCol w:w="2977"/>
      </w:tblGrid>
      <w:tr w:rsidR="00E97E6D">
        <w:trPr>
          <w:trHeight w:val="300"/>
        </w:trPr>
        <w:tc>
          <w:tcPr>
            <w:tcW w:w="3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Identification</w:t>
            </w:r>
          </w:p>
        </w:tc>
        <w:tc>
          <w:tcPr>
            <w:tcW w:w="2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Retention time (min)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Quant mass(m/z)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Alanine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5.56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2-Aminoadipate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9.21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260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3-Aminoisobutyrate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8.53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174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Aminomalonate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8.67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320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Arachidonic acid 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12.88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217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Asparagine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9.92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231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Aspartate-2TMS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262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Aspartate-3TMS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8.70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232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beta-Alanine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8.36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248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Cholesterol</w:t>
            </w:r>
          </w:p>
        </w:tc>
        <w:tc>
          <w:tcPr>
            <w:tcW w:w="22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17.94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458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Citrate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10.77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273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Creatinine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9.26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329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Cysteine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9.20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220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Cystine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13.09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218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2,3-Dihydroxybutyrate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7.85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292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0" w:name="OLE_LINK6"/>
            <w:bookmarkStart w:id="1" w:name="OLE_LINK5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Fructose</w:t>
            </w:r>
            <w:bookmarkEnd w:id="0"/>
            <w:bookmarkEnd w:id="1"/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11.11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307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Fumarate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7.69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245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Glucose-1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11.26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364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2" w:name="OLE_LINK8"/>
            <w:bookmarkStart w:id="3" w:name="OLE_LINK7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Glucose-2</w:t>
            </w:r>
            <w:bookmarkEnd w:id="2"/>
            <w:bookmarkEnd w:id="3"/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11.61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204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4" w:name="OLE_LINK9"/>
            <w:bookmarkStart w:id="5" w:name="OLE_LINK10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Glutamate</w:t>
            </w:r>
            <w:bookmarkEnd w:id="4"/>
            <w:bookmarkEnd w:id="5"/>
          </w:p>
        </w:tc>
        <w:tc>
          <w:tcPr>
            <w:tcW w:w="2219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9.59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246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Glutamine-3TMS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10.50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156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Glutamine-4TMS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10.28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227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6" w:name="OLE_LINK12"/>
            <w:bookmarkStart w:id="7" w:name="OLE_LINK11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Glycerate</w:t>
            </w:r>
            <w:bookmarkEnd w:id="6"/>
            <w:bookmarkEnd w:id="7"/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7.66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292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8" w:name="OLE_LINK24"/>
            <w:bookmarkStart w:id="9" w:name="OLE_LINK25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Glycerol</w:t>
            </w:r>
            <w:bookmarkEnd w:id="8"/>
            <w:bookmarkEnd w:id="9"/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7.20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205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hyperlink r:id="rId5" w:history="1">
              <w:r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Glycerol </w:t>
              </w:r>
              <w:r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3-phosphate</w:t>
              </w:r>
            </w:hyperlink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10.46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357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10" w:name="OLE_LINK26"/>
            <w:bookmarkStart w:id="11" w:name="OLE_LINK27"/>
            <w:bookmarkStart w:id="12" w:name="OLE_LINK15"/>
            <w:bookmarkStart w:id="13" w:name="OLE_LINK13"/>
            <w:bookmarkStart w:id="14" w:name="OLE_LINK14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Glycine</w:t>
            </w:r>
            <w:bookmarkEnd w:id="10"/>
            <w:bookmarkEnd w:id="11"/>
            <w:bookmarkEnd w:id="12"/>
            <w:bookmarkEnd w:id="13"/>
            <w:bookmarkEnd w:id="14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-TMS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5.73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102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Glycine-2TMS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7.48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248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Glycolate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5.26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205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cis-9-Hexadecenoic acid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11.74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311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Histidine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11.32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154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Homocysteine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8.24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234</w:t>
            </w:r>
          </w:p>
        </w:tc>
      </w:tr>
      <w:tr w:rsidR="00E97E6D">
        <w:trPr>
          <w:trHeight w:val="31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2-Hydroxybutyrate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5.83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131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2-Hydroxyisovalerate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6.21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145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15" w:name="OLE_LINK2"/>
            <w:bookmarkStart w:id="16" w:name="OLE_LINK1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3-Hydroxybutyrate </w:t>
            </w:r>
            <w:bookmarkEnd w:id="15"/>
            <w:bookmarkEnd w:id="16"/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6.15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233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Hydroxyproline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8.65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158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Indole-3-propanate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12.14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202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Isoleucine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7.36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158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alpha-</w:t>
            </w:r>
            <w:bookmarkStart w:id="17" w:name="OLE_LINK22"/>
            <w:bookmarkStart w:id="18" w:name="OLE_LINK23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Ketoglutarate</w:t>
            </w:r>
            <w:bookmarkEnd w:id="17"/>
            <w:bookmarkEnd w:id="18"/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9.32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198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Lactate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5.05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219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Leucine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7.17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158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Linoleic acid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12.65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337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Lysine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11.30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174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Malate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8.76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233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Mannose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11.29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174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Methionine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8.99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176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Methyl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myristate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10.16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242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Methylcysteine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8.34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218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Monomethylphosphate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6.35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241</w:t>
            </w:r>
          </w:p>
        </w:tc>
      </w:tr>
      <w:tr w:rsidR="00E97E6D">
        <w:trPr>
          <w:trHeight w:val="394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19" w:name="OLE_LINK29"/>
            <w:bookmarkStart w:id="20" w:name="OLE_LINK28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1-Monooleoylglycerol</w:t>
            </w:r>
            <w:bookmarkEnd w:id="19"/>
            <w:bookmarkEnd w:id="20"/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14.98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397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1-Monopalmitin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14.21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371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1-Monostearin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15.08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399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Myo-inositol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12.23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318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Myristic acid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10.83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285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13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-Myristic acid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10.84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287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Nonanoic acid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7.82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215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Oleic acid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12.68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339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Ornithine-3TMS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9.57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142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Ornithine-2TMS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10.39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174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Oxalate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5.85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190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2-Oxoisocaproiate/ketoleucine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6.66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216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Palmitic acid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11.83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313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Phenylalanine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9.69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218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21" w:name="OLE_LINK21"/>
            <w:bookmarkStart w:id="22" w:name="OLE_LINK20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Phosphate</w:t>
            </w:r>
            <w:bookmarkEnd w:id="21"/>
            <w:bookmarkEnd w:id="22"/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7.20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314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Proline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7.40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142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Pyroglutamate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9.03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156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Pyrophosphoric acid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9.92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451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Pyruvate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4.96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174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Ribitol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11.16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307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Ribose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10.92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217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Salicylic acid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8.95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267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Serine 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7.88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218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Stearic acid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12.75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341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Succinate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7.48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247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>Thr</w:t>
            </w:r>
            <w:r>
              <w:rPr>
                <w:rStyle w:val="a7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eonate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9.27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292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Threonine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8.09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218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Thymine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12.41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243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23" w:name="OLE_LINK4"/>
            <w:bookmarkStart w:id="24" w:name="OLE_LINK3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alpha-Tocopherol</w:t>
            </w:r>
            <w:bookmarkEnd w:id="23"/>
            <w:bookmarkEnd w:id="24"/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17.66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502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Tryptophan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12.73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202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Tyrosine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11.39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218</w:t>
            </w:r>
          </w:p>
        </w:tc>
      </w:tr>
      <w:tr w:rsidR="00E97E6D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Urate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12.20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441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Urea 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6.84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204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Valine-3TMS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5.36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174</w:t>
            </w:r>
          </w:p>
        </w:tc>
      </w:tr>
      <w:tr w:rsidR="00E97E6D">
        <w:trPr>
          <w:trHeight w:val="285"/>
        </w:trPr>
        <w:tc>
          <w:tcPr>
            <w:tcW w:w="3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Valine-2TMS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6.70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218</w:t>
            </w:r>
          </w:p>
        </w:tc>
      </w:tr>
    </w:tbl>
    <w:p w:rsidR="00E97E6D" w:rsidRDefault="00C6280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TMS, trimethylsilylation.</w:t>
      </w:r>
      <w:bookmarkStart w:id="25" w:name="_GoBack"/>
      <w:bookmarkEnd w:id="25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97E6D" w:rsidRDefault="00E97E6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E97E6D" w:rsidRDefault="00C62809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E97E6D" w:rsidRDefault="00C62809">
      <w:pPr>
        <w:spacing w:after="240"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S2</w:t>
      </w:r>
      <w:r>
        <w:rPr>
          <w:rFonts w:ascii="Times New Roman" w:hAnsi="Times New Roman" w:cs="Times New Roman"/>
          <w:b/>
          <w:sz w:val="24"/>
          <w:szCs w:val="24"/>
        </w:rPr>
        <w:t xml:space="preserve"> The identified endogenous compounds in plasma using LC/MS system </w:t>
      </w:r>
    </w:p>
    <w:tbl>
      <w:tblPr>
        <w:tblW w:w="8045" w:type="dxa"/>
        <w:tblInd w:w="108" w:type="dxa"/>
        <w:tblLook w:val="04A0" w:firstRow="1" w:lastRow="0" w:firstColumn="1" w:lastColumn="0" w:noHBand="0" w:noVBand="1"/>
      </w:tblPr>
      <w:tblGrid>
        <w:gridCol w:w="3261"/>
        <w:gridCol w:w="2126"/>
        <w:gridCol w:w="2658"/>
      </w:tblGrid>
      <w:tr w:rsidR="00E97E6D">
        <w:trPr>
          <w:trHeight w:val="285"/>
        </w:trPr>
        <w:tc>
          <w:tcPr>
            <w:tcW w:w="32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Identification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Retention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time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(min)</w:t>
            </w:r>
          </w:p>
        </w:tc>
        <w:tc>
          <w:tcPr>
            <w:tcW w:w="26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Quant mass(m/z)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N-Acetylornithine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9.16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173.0826-173.1026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Adenosine monophosphate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8.72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346.0453-346.0653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Adenosine triphosphate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8.52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505.9779-505.9979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ADP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8.5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426.0116-426.0316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Alanine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9.18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88.0299-88.0499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Allantoic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8.64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175.0368-175.0568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Allantoin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8.02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157.0262-157.0462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2-Aminobenzoic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5.61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136.0299-136.0499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Asparagine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9.28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131.0357-131.0557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Biotin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8.07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243.0704-243.0904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Carbamoyl phosphate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8.13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139.9649-139.9849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Citrate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8.82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191.0092-191.0292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Citrulline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9.3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174.0779-174.0979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Cystathionine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9.52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221.0496-221.0696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Cytidine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9.04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242.0677-242.0877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Deoxyribose 1-phosphate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2.48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213.0064-213.0264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Deoxyuridine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3.2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227.0568-227.0768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Dihydroorotic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3.03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157.0150-157.0350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FAD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8.6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784.1393-784.1593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Fructose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1,6-bisphosphate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8.77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338.9782-338.9982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Beta-D-Fructose 6-phosphate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8.77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259.0119-259.0319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Fumarate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8.69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114.9932-115.0132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dGDP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8.77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426.0116-426.0316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Gluconic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8.62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195.0405-195.0605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Glucose 6-phosphate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8.5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259.0119-259.0319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Glutamic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8.75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146.0354-146.0554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Glutamine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9.25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145.0513-145.0713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5-13C-Glutamine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9.23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146.0551-146.0751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Glutathione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8.74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306.0660-306.0860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Glycine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9.2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74.0142-74.0342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GSSG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8.77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611.1342-611.1542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dGTP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8.79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505.9779-505.9979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Guanosine monophosphate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8.77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362.0402-362.0602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Histidine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9.8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154.0517-154.0717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Homocysteine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8.69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134.0176-134.0376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Homoserine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9.16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118.0404-118.0604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4-Hydroxybenzoic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9.52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138.0217-138.0417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Hypoxanthine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8.21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135.0207-135.0407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Inosine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8.5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267.0630-267.0830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Inosine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2'-phosphate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8.74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347.0293-347.0493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Isoleucine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8.54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130.0768-130.0968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2-ketoglutarate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8.35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145.0037-145.0237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Lactate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8.02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89.0139-89.0339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Lysine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14.91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145.0877-145.1077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Malate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8.67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133.0037-133.0237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Methionine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8.74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148.0332-148.0532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Myo-Inositol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9.55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179.0456-179.0656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NAD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8.61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663.0991-663.1191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Nicotinic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3.22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122.0142-122.0342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Orotidine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8.07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287.0416-287.0616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Pantothenic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8.07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218.0929-218.1129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Phenylalanine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8.45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164.0612-164.0812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Phenylpyruvic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8.8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163.0295-163.0495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2-Phosphoglyceric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8.54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184.9751-184.9951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3-Phosphoglyceric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8.84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184.9751-184.9951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Proline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8.92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114.0455-114.0655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2-Pyrocatechuic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9.35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154.0166-154.0366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D-Ribose 5-phosphate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8.57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229.0014-229.0214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D-Sedoheptulose 7-phosphate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8.77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289.0225-289.0425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Serine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9.32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104.0248-104.0448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Shikimic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8.77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173.0350-173.0550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Succinate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8.23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117.0088-117.0288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Taurine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8.82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123.9969-124.0169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Threonine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8.8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118.0404-118.0604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5-Thymidylic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8.57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321.0388-321.0588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Trehalose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9.28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341.0984-341.1184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Tryptophan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8.4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203.0721-203.0921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Tyrosine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8.71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180.0561-180.0761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Ureidosuccinic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3.74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175.0255-175.0455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Uridine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8.57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243.0517-243.0717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Uridine 5'-diphosphate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8.62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402.9844-403.0044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Uridine 5'-monophosphate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8.75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323.0181-323.0381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Uridine diphosphate glucose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8.72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565.0372-565.0572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Valine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8.86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116.0612-116.0812</w:t>
            </w:r>
          </w:p>
        </w:tc>
      </w:tr>
      <w:tr w:rsidR="00E97E6D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Xanthine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8.02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151.0156-151.0356</w:t>
            </w:r>
          </w:p>
        </w:tc>
      </w:tr>
      <w:tr w:rsidR="00E97E6D">
        <w:trPr>
          <w:trHeight w:val="278"/>
        </w:trPr>
        <w:tc>
          <w:tcPr>
            <w:tcW w:w="3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Xanthosine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8.11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283.0579-283.0779</w:t>
            </w:r>
          </w:p>
        </w:tc>
      </w:tr>
    </w:tbl>
    <w:p w:rsidR="00E97E6D" w:rsidRDefault="00E97E6D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:rsidR="00E97E6D" w:rsidRDefault="00E97E6D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:rsidR="00E97E6D" w:rsidRDefault="00C628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97E6D" w:rsidRDefault="00C62809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Pearson correlation analysis of homoserine, homocysteine, methionine and deoxyuridine to the traditional risk factors</w:t>
      </w:r>
    </w:p>
    <w:tbl>
      <w:tblPr>
        <w:tblW w:w="12100" w:type="dxa"/>
        <w:tblInd w:w="93" w:type="dxa"/>
        <w:tblLook w:val="04A0" w:firstRow="1" w:lastRow="0" w:firstColumn="1" w:lastColumn="0" w:noHBand="0" w:noVBand="1"/>
      </w:tblPr>
      <w:tblGrid>
        <w:gridCol w:w="1900"/>
        <w:gridCol w:w="1080"/>
        <w:gridCol w:w="1080"/>
        <w:gridCol w:w="1080"/>
        <w:gridCol w:w="1080"/>
        <w:gridCol w:w="1080"/>
        <w:gridCol w:w="1080"/>
        <w:gridCol w:w="1560"/>
        <w:gridCol w:w="1080"/>
        <w:gridCol w:w="1080"/>
      </w:tblGrid>
      <w:tr w:rsidR="00E97E6D">
        <w:trPr>
          <w:trHeight w:val="270"/>
        </w:trPr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Coefficients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TG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LDL-C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LPa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HDL-C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GLU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Gender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Diabetes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smoke</w:t>
            </w:r>
          </w:p>
        </w:tc>
      </w:tr>
      <w:tr w:rsidR="00E97E6D">
        <w:trPr>
          <w:trHeight w:val="270"/>
        </w:trPr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Homoserine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-0.24*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0.24*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0.39*</w:t>
            </w:r>
          </w:p>
        </w:tc>
      </w:tr>
      <w:tr w:rsidR="00E97E6D">
        <w:trPr>
          <w:trHeight w:val="27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Homocysteine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-0.01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-0.12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0.11*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0.24*</w:t>
            </w:r>
          </w:p>
        </w:tc>
      </w:tr>
      <w:tr w:rsidR="00E97E6D">
        <w:trPr>
          <w:trHeight w:val="27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Methionine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-0.21*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0.22*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0.27*</w:t>
            </w:r>
          </w:p>
        </w:tc>
      </w:tr>
      <w:tr w:rsidR="00E97E6D">
        <w:trPr>
          <w:trHeight w:val="270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Deoxyuridine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-0.27*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0.23*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0.24*</w:t>
            </w:r>
          </w:p>
        </w:tc>
      </w:tr>
    </w:tbl>
    <w:p w:rsidR="00E97E6D" w:rsidRDefault="00C62809">
      <w:pP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</w:pP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*p&lt;0.05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bidi="ar"/>
        </w:rPr>
        <w:t>, pearson r correlation analysis</w:t>
      </w:r>
    </w:p>
    <w:p w:rsidR="00E97E6D" w:rsidRDefault="00E97E6D">
      <w:pPr>
        <w:rPr>
          <w:rFonts w:ascii="Times New Roman" w:hAnsi="Times New Roman" w:cs="Times New Roman"/>
          <w:sz w:val="24"/>
          <w:szCs w:val="24"/>
        </w:rPr>
      </w:pPr>
    </w:p>
    <w:p w:rsidR="00E97E6D" w:rsidRDefault="00E97E6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E97E6D" w:rsidRDefault="00E97E6D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E97E6D" w:rsidRDefault="00E97E6D">
      <w:pPr>
        <w:widowControl/>
        <w:jc w:val="left"/>
        <w:rPr>
          <w:rFonts w:ascii="Times New Roman" w:hAnsi="Times New Roman" w:cs="Times New Roman"/>
          <w:sz w:val="24"/>
          <w:szCs w:val="24"/>
        </w:rPr>
        <w:sectPr w:rsidR="00E97E6D">
          <w:pgSz w:w="16838" w:h="11906" w:orient="landscape"/>
          <w:pgMar w:top="1304" w:right="1435" w:bottom="1304" w:left="1435" w:header="851" w:footer="992" w:gutter="57"/>
          <w:cols w:space="425"/>
          <w:docGrid w:type="linesAndChars" w:linePitch="312"/>
        </w:sectPr>
      </w:pPr>
    </w:p>
    <w:p w:rsidR="00E97E6D" w:rsidRDefault="00C62809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sz w:val="24"/>
          <w:szCs w:val="24"/>
        </w:rPr>
        <w:t>metabolites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d</w:t>
      </w:r>
      <w:r>
        <w:rPr>
          <w:rFonts w:ascii="Times New Roman" w:hAnsi="Times New Roman" w:cs="Times New Roman"/>
          <w:b/>
          <w:sz w:val="24"/>
          <w:szCs w:val="24"/>
        </w:rPr>
        <w:t>ifferenti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ating </w:t>
      </w:r>
      <w:r>
        <w:rPr>
          <w:rFonts w:ascii="Times New Roman" w:hAnsi="Times New Roman" w:cs="Times New Roman"/>
          <w:b/>
          <w:sz w:val="24"/>
          <w:szCs w:val="24"/>
        </w:rPr>
        <w:t xml:space="preserve">NT-proBNP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positive from negative </w:t>
      </w:r>
      <w:r>
        <w:rPr>
          <w:rFonts w:ascii="Times New Roman" w:hAnsi="Times New Roman" w:cs="Times New Roman"/>
          <w:b/>
          <w:sz w:val="24"/>
          <w:szCs w:val="24"/>
        </w:rPr>
        <w:t xml:space="preserve">(+/-)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of the </w:t>
      </w:r>
      <w:r>
        <w:rPr>
          <w:rFonts w:ascii="Times New Roman" w:hAnsi="Times New Roman" w:cs="Times New Roman"/>
          <w:b/>
          <w:sz w:val="24"/>
          <w:szCs w:val="24"/>
        </w:rPr>
        <w:t>chest pain cases</w:t>
      </w:r>
    </w:p>
    <w:p w:rsidR="00E97E6D" w:rsidRDefault="00E97E6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6660" w:type="dxa"/>
        <w:tblInd w:w="93" w:type="dxa"/>
        <w:tblLook w:val="04A0" w:firstRow="1" w:lastRow="0" w:firstColumn="1" w:lastColumn="0" w:noHBand="0" w:noVBand="1"/>
      </w:tblPr>
      <w:tblGrid>
        <w:gridCol w:w="2360"/>
        <w:gridCol w:w="1440"/>
        <w:gridCol w:w="1440"/>
        <w:gridCol w:w="1420"/>
      </w:tblGrid>
      <w:tr w:rsidR="00E97E6D">
        <w:trPr>
          <w:trHeight w:val="300"/>
        </w:trPr>
        <w:tc>
          <w:tcPr>
            <w:tcW w:w="2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ifferential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metabolites 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NT-proBNP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E97E6D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E97E6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(+)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(n=104)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(-)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(n=29)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FC(+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-)</w:t>
            </w:r>
          </w:p>
        </w:tc>
      </w:tr>
      <w:tr w:rsidR="00E97E6D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Uracil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133379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245368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0.54</w:t>
            </w:r>
          </w:p>
        </w:tc>
      </w:tr>
      <w:tr w:rsidR="00E97E6D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alpha-Ketoglutarate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35569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64328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0.55</w:t>
            </w:r>
          </w:p>
        </w:tc>
      </w:tr>
      <w:tr w:rsidR="00E97E6D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N-acetylornithine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121902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207361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0.59</w:t>
            </w:r>
          </w:p>
        </w:tc>
      </w:tr>
      <w:tr w:rsidR="00E97E6D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Citrate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2796824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4335952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0.65</w:t>
            </w:r>
          </w:p>
        </w:tc>
      </w:tr>
      <w:tr w:rsidR="00E97E6D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Xanthine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133154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204184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0.65</w:t>
            </w:r>
          </w:p>
        </w:tc>
      </w:tr>
      <w:tr w:rsidR="00E97E6D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Cystathionine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14009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21215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0.66</w:t>
            </w:r>
          </w:p>
        </w:tc>
      </w:tr>
      <w:tr w:rsidR="00E97E6D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Adenosine triphosphate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31138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40746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0.76</w:t>
            </w:r>
          </w:p>
        </w:tc>
      </w:tr>
      <w:tr w:rsidR="00E97E6D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dGTP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31138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40746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0.76</w:t>
            </w:r>
          </w:p>
        </w:tc>
      </w:tr>
      <w:tr w:rsidR="00E97E6D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Carbamoylphosphate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26535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33950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0.78</w:t>
            </w:r>
          </w:p>
        </w:tc>
      </w:tr>
      <w:tr w:rsidR="00E97E6D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Glycine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230409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174583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1.32</w:t>
            </w:r>
          </w:p>
        </w:tc>
      </w:tr>
      <w:tr w:rsidR="00E97E6D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Cystine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16941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12464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1.36</w:t>
            </w:r>
          </w:p>
        </w:tc>
      </w:tr>
      <w:tr w:rsidR="00E97E6D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Aspartate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11210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8199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1.37</w:t>
            </w:r>
          </w:p>
        </w:tc>
      </w:tr>
      <w:tr w:rsidR="00E97E6D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Threonine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1210537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828762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1.46</w:t>
            </w:r>
          </w:p>
        </w:tc>
      </w:tr>
      <w:tr w:rsidR="00E97E6D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Homoserine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1210537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828762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1.46</w:t>
            </w:r>
          </w:p>
        </w:tc>
      </w:tr>
      <w:tr w:rsidR="00E97E6D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Methionine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276817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181468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1.53</w:t>
            </w:r>
          </w:p>
        </w:tc>
      </w:tr>
      <w:tr w:rsidR="00E97E6D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Deoxyuridine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769653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300824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2.56</w:t>
            </w:r>
          </w:p>
        </w:tc>
      </w:tr>
    </w:tbl>
    <w:p w:rsidR="00E97E6D" w:rsidRDefault="00C628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All </w:t>
      </w:r>
      <w:r>
        <w:rPr>
          <w:rFonts w:ascii="Times New Roman" w:hAnsi="Times New Roman" w:cs="Times New Roman" w:hint="eastAsia"/>
          <w:sz w:val="24"/>
          <w:szCs w:val="24"/>
        </w:rPr>
        <w:t xml:space="preserve">the listed </w:t>
      </w:r>
      <w:r>
        <w:rPr>
          <w:rFonts w:ascii="Times New Roman" w:hAnsi="Times New Roman" w:cs="Times New Roman"/>
          <w:sz w:val="24"/>
          <w:szCs w:val="24"/>
        </w:rPr>
        <w:t xml:space="preserve">metabolites </w:t>
      </w:r>
      <w:r>
        <w:rPr>
          <w:rFonts w:ascii="Times New Roman" w:hAnsi="Times New Roman" w:cs="Times New Roman" w:hint="eastAsia"/>
          <w:sz w:val="24"/>
          <w:szCs w:val="24"/>
        </w:rPr>
        <w:t xml:space="preserve">showed statistical </w:t>
      </w:r>
      <w:r>
        <w:rPr>
          <w:rFonts w:ascii="Times New Roman" w:hAnsi="Times New Roman" w:cs="Times New Roman"/>
          <w:sz w:val="24"/>
          <w:szCs w:val="24"/>
        </w:rPr>
        <w:t>differen</w:t>
      </w:r>
      <w:r>
        <w:rPr>
          <w:rFonts w:ascii="Times New Roman" w:hAnsi="Times New Roman" w:cs="Times New Roman" w:hint="eastAsia"/>
          <w:sz w:val="24"/>
          <w:szCs w:val="24"/>
        </w:rPr>
        <w:t xml:space="preserve">ce by T test analysis between </w:t>
      </w:r>
      <w:r>
        <w:rPr>
          <w:rFonts w:ascii="Times New Roman" w:hAnsi="Times New Roman" w:cs="Times New Roman"/>
          <w:sz w:val="24"/>
          <w:szCs w:val="24"/>
        </w:rPr>
        <w:t xml:space="preserve">NT-proBNP </w:t>
      </w:r>
      <w:r>
        <w:rPr>
          <w:rFonts w:ascii="Times New Roman" w:hAnsi="Times New Roman" w:cs="Times New Roman" w:hint="eastAsia"/>
          <w:sz w:val="24"/>
          <w:szCs w:val="24"/>
        </w:rPr>
        <w:t>positive and negative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cases with</w:t>
      </w:r>
      <w:r>
        <w:rPr>
          <w:rFonts w:ascii="Times New Roman" w:hAnsi="Times New Roman" w:cs="Times New Roman"/>
          <w:sz w:val="24"/>
          <w:szCs w:val="24"/>
        </w:rPr>
        <w:t xml:space="preserve"> their </w:t>
      </w:r>
      <w:r>
        <w:rPr>
          <w:rFonts w:ascii="Times New Roman" w:hAnsi="Times New Roman" w:cs="Times New Roman"/>
          <w:i/>
          <w:iCs/>
          <w:sz w:val="24"/>
          <w:szCs w:val="24"/>
        </w:rPr>
        <w:t>logarized</w:t>
      </w:r>
      <w:r>
        <w:rPr>
          <w:rFonts w:ascii="Times New Roman" w:hAnsi="Times New Roman" w:cs="Times New Roman" w:hint="eastAsia"/>
          <w:sz w:val="24"/>
          <w:szCs w:val="24"/>
        </w:rPr>
        <w:t xml:space="preserve"> data. </w:t>
      </w:r>
    </w:p>
    <w:p w:rsidR="00E97E6D" w:rsidRDefault="00C6280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Metabolites with FC(+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-) </w:t>
      </w:r>
      <w:r>
        <w:rPr>
          <w:rFonts w:ascii="Times New Roman" w:hAnsi="Times New Roman" w:cs="Times New Roman" w:hint="eastAsia"/>
          <w:sz w:val="24"/>
          <w:szCs w:val="24"/>
        </w:rPr>
        <w:t xml:space="preserve">from </w:t>
      </w:r>
      <w:r>
        <w:rPr>
          <w:rFonts w:ascii="Times New Roman" w:hAnsi="Times New Roman" w:cs="Times New Roman"/>
          <w:sz w:val="24"/>
          <w:szCs w:val="24"/>
        </w:rPr>
        <w:t>0.8 to 1.2 were removed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:rsidR="00E97E6D" w:rsidRDefault="00E97E6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E97E6D" w:rsidRDefault="00C62809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bidi="ar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bidi="ar"/>
        </w:rPr>
        <w:br w:type="page"/>
      </w:r>
    </w:p>
    <w:p w:rsidR="00E97E6D" w:rsidRDefault="00C6280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bidi="ar"/>
        </w:rPr>
        <w:lastRenderedPageBreak/>
        <w:t>Table S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:lang w:bidi="ar"/>
        </w:rPr>
        <w:t>5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 xml:space="preserve"> OR of traditional CAD risk factors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  <w:lang w:bidi="ar"/>
        </w:rPr>
        <w:t xml:space="preserve">  </w:t>
      </w:r>
    </w:p>
    <w:p w:rsidR="00E97E6D" w:rsidRDefault="00E97E6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181" w:type="dxa"/>
        <w:tblInd w:w="93" w:type="dxa"/>
        <w:tblLook w:val="04A0" w:firstRow="1" w:lastRow="0" w:firstColumn="1" w:lastColumn="0" w:noHBand="0" w:noVBand="1"/>
      </w:tblPr>
      <w:tblGrid>
        <w:gridCol w:w="1639"/>
        <w:gridCol w:w="853"/>
        <w:gridCol w:w="2689"/>
      </w:tblGrid>
      <w:tr w:rsidR="00E97E6D">
        <w:trPr>
          <w:trHeight w:val="300"/>
        </w:trPr>
        <w:tc>
          <w:tcPr>
            <w:tcW w:w="5181" w:type="dxa"/>
            <w:gridSpan w:val="3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 xml:space="preserve"> vs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non-MI cases </w:t>
            </w:r>
          </w:p>
        </w:tc>
      </w:tr>
      <w:tr w:rsidR="00E97E6D">
        <w:trPr>
          <w:trHeight w:val="300"/>
        </w:trPr>
        <w:tc>
          <w:tcPr>
            <w:tcW w:w="163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OR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95% C.I.</w:t>
            </w:r>
          </w:p>
        </w:tc>
      </w:tr>
      <w:tr w:rsidR="00E97E6D">
        <w:trPr>
          <w:trHeight w:val="285"/>
        </w:trPr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TC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1.80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1.1590-2.7998</w:t>
            </w:r>
          </w:p>
        </w:tc>
      </w:tr>
      <w:tr w:rsidR="00E97E6D">
        <w:trPr>
          <w:trHeight w:val="270"/>
        </w:trPr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TG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2.01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1.1039-3.6758</w:t>
            </w:r>
          </w:p>
        </w:tc>
      </w:tr>
      <w:tr w:rsidR="00E97E6D">
        <w:trPr>
          <w:trHeight w:val="270"/>
        </w:trPr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LDL-C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2.20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1.2381-3.8919</w:t>
            </w:r>
          </w:p>
        </w:tc>
      </w:tr>
      <w:tr w:rsidR="00E97E6D">
        <w:trPr>
          <w:trHeight w:val="270"/>
        </w:trPr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Diabetes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3.25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1.3632-7.7695</w:t>
            </w:r>
          </w:p>
        </w:tc>
      </w:tr>
      <w:tr w:rsidR="00E97E6D">
        <w:trPr>
          <w:trHeight w:val="285"/>
        </w:trPr>
        <w:tc>
          <w:tcPr>
            <w:tcW w:w="163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Smoke</w:t>
            </w:r>
          </w:p>
        </w:tc>
        <w:tc>
          <w:tcPr>
            <w:tcW w:w="85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2.48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1.2864-4.7674</w:t>
            </w:r>
          </w:p>
        </w:tc>
      </w:tr>
      <w:tr w:rsidR="00E97E6D">
        <w:trPr>
          <w:trHeight w:val="300"/>
        </w:trPr>
        <w:tc>
          <w:tcPr>
            <w:tcW w:w="5181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Cardiac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chest pain cases 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vs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the controls</w:t>
            </w:r>
          </w:p>
        </w:tc>
      </w:tr>
      <w:tr w:rsidR="00E97E6D">
        <w:trPr>
          <w:trHeight w:val="300"/>
        </w:trPr>
        <w:tc>
          <w:tcPr>
            <w:tcW w:w="163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OR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95%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C.I.</w:t>
            </w:r>
          </w:p>
        </w:tc>
      </w:tr>
      <w:tr w:rsidR="00E97E6D">
        <w:trPr>
          <w:trHeight w:val="285"/>
        </w:trPr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Age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1.05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1.0291-1.0718</w:t>
            </w:r>
          </w:p>
        </w:tc>
      </w:tr>
      <w:tr w:rsidR="00E97E6D">
        <w:trPr>
          <w:trHeight w:val="270"/>
        </w:trPr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TC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0.54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0.3992-0.7195</w:t>
            </w:r>
          </w:p>
        </w:tc>
      </w:tr>
      <w:tr w:rsidR="00E97E6D">
        <w:trPr>
          <w:trHeight w:val="270"/>
        </w:trPr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LDL-C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0.58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0.4057-0.8211</w:t>
            </w:r>
          </w:p>
        </w:tc>
      </w:tr>
      <w:tr w:rsidR="00E97E6D">
        <w:trPr>
          <w:trHeight w:val="270"/>
        </w:trPr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HDL-C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0.0006-0.0176</w:t>
            </w:r>
          </w:p>
        </w:tc>
      </w:tr>
      <w:tr w:rsidR="00E97E6D">
        <w:trPr>
          <w:trHeight w:val="270"/>
        </w:trPr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TP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0.58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0.4907-0.6897</w:t>
            </w:r>
          </w:p>
        </w:tc>
      </w:tr>
      <w:tr w:rsidR="00E97E6D">
        <w:trPr>
          <w:trHeight w:val="270"/>
        </w:trPr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ALB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0.52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0.4289-0.6394</w:t>
            </w:r>
          </w:p>
        </w:tc>
      </w:tr>
      <w:tr w:rsidR="00E97E6D">
        <w:trPr>
          <w:trHeight w:val="270"/>
        </w:trPr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A/G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0.03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0.0070-0.1201</w:t>
            </w:r>
          </w:p>
        </w:tc>
      </w:tr>
      <w:tr w:rsidR="00E97E6D">
        <w:trPr>
          <w:trHeight w:val="270"/>
        </w:trPr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Urea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1.32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1.1062-1.5698</w:t>
            </w:r>
          </w:p>
        </w:tc>
      </w:tr>
      <w:tr w:rsidR="00E97E6D">
        <w:trPr>
          <w:trHeight w:val="285"/>
        </w:trPr>
        <w:tc>
          <w:tcPr>
            <w:tcW w:w="163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</w:t>
            </w:r>
          </w:p>
        </w:tc>
        <w:tc>
          <w:tcPr>
            <w:tcW w:w="85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E97E6D" w:rsidRDefault="00C6280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0.0000-0.0000</w:t>
            </w:r>
          </w:p>
        </w:tc>
      </w:tr>
    </w:tbl>
    <w:p w:rsidR="00E97E6D" w:rsidRDefault="00E97E6D">
      <w:pPr>
        <w:rPr>
          <w:rFonts w:ascii="Times New Roman" w:hAnsi="Times New Roman" w:cs="Times New Roman"/>
          <w:sz w:val="24"/>
          <w:szCs w:val="24"/>
        </w:rPr>
      </w:pPr>
    </w:p>
    <w:p w:rsidR="00E97E6D" w:rsidRDefault="00E97E6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E97E6D">
      <w:pgSz w:w="11906" w:h="16838"/>
      <w:pgMar w:top="1435" w:right="1304" w:bottom="1435" w:left="1304" w:header="851" w:footer="992" w:gutter="57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D68"/>
    <w:rsid w:val="00042746"/>
    <w:rsid w:val="00084008"/>
    <w:rsid w:val="000A47A3"/>
    <w:rsid w:val="000C7089"/>
    <w:rsid w:val="0012271A"/>
    <w:rsid w:val="001A4B4A"/>
    <w:rsid w:val="001D3175"/>
    <w:rsid w:val="00201A17"/>
    <w:rsid w:val="00250D73"/>
    <w:rsid w:val="002669D2"/>
    <w:rsid w:val="003579F8"/>
    <w:rsid w:val="004E1AB8"/>
    <w:rsid w:val="004F0E6B"/>
    <w:rsid w:val="005C3642"/>
    <w:rsid w:val="00622D9B"/>
    <w:rsid w:val="006D2D68"/>
    <w:rsid w:val="00842B44"/>
    <w:rsid w:val="008C3AB7"/>
    <w:rsid w:val="00C04204"/>
    <w:rsid w:val="00C62809"/>
    <w:rsid w:val="00C73ECD"/>
    <w:rsid w:val="00C741B7"/>
    <w:rsid w:val="00E97E6D"/>
    <w:rsid w:val="00ED29A6"/>
    <w:rsid w:val="00EF6BC4"/>
    <w:rsid w:val="00FA2FE2"/>
    <w:rsid w:val="00FF3F9C"/>
    <w:rsid w:val="04FE3F31"/>
    <w:rsid w:val="177F193F"/>
    <w:rsid w:val="46AE0749"/>
    <w:rsid w:val="4F8061E6"/>
    <w:rsid w:val="57555034"/>
    <w:rsid w:val="57B95436"/>
    <w:rsid w:val="59F60E7C"/>
    <w:rsid w:val="5AF03B00"/>
    <w:rsid w:val="6762536F"/>
    <w:rsid w:val="6D9A18A8"/>
    <w:rsid w:val="70277FF7"/>
    <w:rsid w:val="72157419"/>
    <w:rsid w:val="7A81666E"/>
    <w:rsid w:val="7B413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CEA9BB1-4391-4340-AA06-77CDDB3F7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Emphasis"/>
    <w:basedOn w:val="a0"/>
    <w:uiPriority w:val="20"/>
    <w:qFormat/>
    <w:rPr>
      <w:i/>
      <w:iCs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hmdb.ca/metabolites/HMDB000012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11</Pages>
  <Words>1117</Words>
  <Characters>6372</Characters>
  <Application>Microsoft Office Word</Application>
  <DocSecurity>0</DocSecurity>
  <Lines>53</Lines>
  <Paragraphs>14</Paragraphs>
  <ScaleCrop>false</ScaleCrop>
  <Company/>
  <LinksUpToDate>false</LinksUpToDate>
  <CharactersWithSpaces>7475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Apple</cp:lastModifiedBy>
  <cp:revision>6</cp:revision>
  <dcterms:created xsi:type="dcterms:W3CDTF">2020-08-11T01:08:00Z</dcterms:created>
  <dcterms:modified xsi:type="dcterms:W3CDTF">2020-11-15T15:28:00Z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