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after="240" w:line="360" w:lineRule="auto"/>
        <w:jc w:val="center"/>
        <w:rPr>
          <w:rFonts w:hint="eastAsia"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S</w:t>
      </w:r>
      <w:r>
        <w:rPr>
          <w:rFonts w:hint="eastAsia" w:ascii="Times New Roman" w:hAnsi="Times New Roman" w:cs="Times New Roman"/>
          <w:b/>
          <w:sz w:val="32"/>
        </w:rPr>
        <w:t>upplementary figures</w:t>
      </w:r>
    </w:p>
    <w:p>
      <w:pPr>
        <w:spacing w:after="240" w:line="360" w:lineRule="auto"/>
        <w:jc w:val="center"/>
        <w:rPr>
          <w:rFonts w:hint="eastAsia" w:ascii="Times New Roman" w:hAnsi="Times New Roman" w:cs="Times New Roman"/>
          <w:b/>
          <w:sz w:val="32"/>
        </w:rPr>
      </w:pPr>
    </w:p>
    <w:p>
      <w:pPr>
        <w:spacing w:after="240" w:line="360" w:lineRule="auto"/>
        <w:jc w:val="center"/>
        <w:rPr>
          <w:rFonts w:hint="eastAsia" w:ascii="Times New Roman" w:hAnsi="Times New Roman" w:cs="Times New Roman"/>
          <w:b/>
          <w:sz w:val="32"/>
        </w:rPr>
      </w:pPr>
    </w:p>
    <w:p>
      <w:pPr>
        <w:spacing w:before="24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</w:t>
      </w:r>
      <w:r>
        <w:rPr>
          <w:rFonts w:hint="eastAsia" w:ascii="Times New Roman" w:hAnsi="Times New Roman" w:cs="Times New Roman"/>
          <w:sz w:val="24"/>
        </w:rPr>
        <w:t>ure</w:t>
      </w:r>
      <w:r>
        <w:rPr>
          <w:rFonts w:ascii="Times New Roman" w:hAnsi="Times New Roman" w:cs="Times New Roman"/>
          <w:sz w:val="24"/>
        </w:rPr>
        <w:t xml:space="preserve"> S</w:t>
      </w:r>
      <w:r>
        <w:rPr>
          <w:rFonts w:hint="eastAsia" w:ascii="Times New Roman" w:hAnsi="Times New Roman" w:cs="Times New Roman"/>
          <w:sz w:val="24"/>
        </w:rPr>
        <w:t xml:space="preserve">1 </w:t>
      </w:r>
      <w:r>
        <w:rPr>
          <w:rFonts w:ascii="Times New Roman" w:hAnsi="Times New Roman" w:cs="Times New Roman"/>
          <w:sz w:val="24"/>
        </w:rPr>
        <w:t xml:space="preserve">Typical GC/MS chromatograms and the </w:t>
      </w:r>
      <w:r>
        <w:rPr>
          <w:rFonts w:hint="eastAsia" w:ascii="Times New Roman" w:hAnsi="Times New Roman" w:cs="Times New Roman"/>
          <w:sz w:val="24"/>
        </w:rPr>
        <w:t xml:space="preserve">identified </w:t>
      </w:r>
      <w:r>
        <w:rPr>
          <w:rFonts w:ascii="Times New Roman" w:hAnsi="Times New Roman" w:cs="Times New Roman"/>
          <w:sz w:val="24"/>
        </w:rPr>
        <w:t>molecules in the plasma</w:t>
      </w:r>
      <w:r>
        <w:rPr>
          <w:rFonts w:hint="eastAsia" w:ascii="Times New Roman" w:hAnsi="Times New Roman" w:cs="Times New Roman"/>
          <w:sz w:val="24"/>
        </w:rPr>
        <w:t xml:space="preserve"> from the control (A), the MI(B), UA (C) and the other non-MI cardiac cases(D)</w:t>
      </w:r>
    </w:p>
    <w:p>
      <w:pPr>
        <w:spacing w:before="240" w:line="360" w:lineRule="auto"/>
        <w:rPr>
          <w:rFonts w:hint="eastAsia"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</w:t>
      </w:r>
      <w:r>
        <w:rPr>
          <w:rFonts w:hint="eastAsia" w:ascii="Times New Roman" w:hAnsi="Times New Roman" w:cs="Times New Roman"/>
          <w:sz w:val="24"/>
        </w:rPr>
        <w:t>ure</w:t>
      </w:r>
      <w:r>
        <w:rPr>
          <w:rFonts w:ascii="Times New Roman" w:hAnsi="Times New Roman" w:cs="Times New Roman"/>
          <w:sz w:val="24"/>
        </w:rPr>
        <w:t xml:space="preserve"> S</w:t>
      </w:r>
      <w:r>
        <w:rPr>
          <w:rFonts w:hint="eastAsia" w:ascii="Times New Roman" w:hAnsi="Times New Roman" w:cs="Times New Roman"/>
          <w:sz w:val="24"/>
        </w:rPr>
        <w:t xml:space="preserve">2 </w:t>
      </w:r>
      <w:r>
        <w:rPr>
          <w:rFonts w:ascii="Times New Roman" w:hAnsi="Times New Roman" w:cs="Times New Roman"/>
          <w:sz w:val="24"/>
        </w:rPr>
        <w:t xml:space="preserve">Typical </w:t>
      </w:r>
      <w:r>
        <w:rPr>
          <w:rFonts w:hint="eastAsia" w:ascii="Times New Roman" w:hAnsi="Times New Roman" w:cs="Times New Roman"/>
          <w:sz w:val="24"/>
        </w:rPr>
        <w:t>L</w:t>
      </w:r>
      <w:r>
        <w:rPr>
          <w:rFonts w:ascii="Times New Roman" w:hAnsi="Times New Roman" w:cs="Times New Roman"/>
          <w:sz w:val="24"/>
        </w:rPr>
        <w:t xml:space="preserve">C/MS chromatograms and the </w:t>
      </w:r>
      <w:r>
        <w:rPr>
          <w:rFonts w:hint="eastAsia" w:ascii="Times New Roman" w:hAnsi="Times New Roman" w:cs="Times New Roman"/>
          <w:sz w:val="24"/>
        </w:rPr>
        <w:t xml:space="preserve">identified </w:t>
      </w:r>
      <w:r>
        <w:rPr>
          <w:rFonts w:ascii="Times New Roman" w:hAnsi="Times New Roman" w:cs="Times New Roman"/>
          <w:sz w:val="24"/>
        </w:rPr>
        <w:t>molecules in the plasma</w:t>
      </w:r>
      <w:r>
        <w:rPr>
          <w:rFonts w:hint="eastAsia" w:ascii="Times New Roman" w:hAnsi="Times New Roman" w:cs="Times New Roman"/>
          <w:sz w:val="24"/>
        </w:rPr>
        <w:t xml:space="preserve"> from the control (A), the MI(B), UA (C) and the other non-MI cardiac cases(D)</w:t>
      </w:r>
    </w:p>
    <w:p>
      <w:pPr>
        <w:tabs>
          <w:tab w:val="right" w:pos="9746"/>
        </w:tabs>
        <w:spacing w:before="240"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Fig</w:t>
      </w:r>
      <w:r>
        <w:rPr>
          <w:rFonts w:hint="eastAsia" w:ascii="Times New Roman" w:hAnsi="Times New Roman" w:cs="Times New Roman"/>
          <w:sz w:val="24"/>
        </w:rPr>
        <w:t>ure</w:t>
      </w:r>
      <w:r>
        <w:rPr>
          <w:rFonts w:ascii="Times New Roman" w:hAnsi="Times New Roman" w:cs="Times New Roman"/>
          <w:sz w:val="24"/>
        </w:rPr>
        <w:t xml:space="preserve"> S</w:t>
      </w:r>
      <w:r>
        <w:rPr>
          <w:rFonts w:hint="eastAsia" w:ascii="Times New Roman" w:hAnsi="Times New Roman" w:cs="Times New Roman"/>
          <w:sz w:val="24"/>
        </w:rPr>
        <w:t>3 metabolic pathways associated with NT-proBNP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and the parameters in a TAC model</w:t>
      </w:r>
      <w:r>
        <w:rPr>
          <w:rFonts w:ascii="Times New Roman" w:hAnsi="Times New Roman" w:cs="Times New Roman"/>
          <w:b/>
          <w:sz w:val="24"/>
        </w:rPr>
        <w:tab/>
      </w:r>
    </w:p>
    <w:p>
      <w:pPr>
        <w:spacing w:before="240" w:line="360" w:lineRule="auto"/>
        <w:rPr>
          <w:rFonts w:ascii="Times New Roman" w:hAnsi="Times New Roman" w:cs="Times New Roman"/>
          <w:sz w:val="24"/>
        </w:rPr>
      </w:pPr>
    </w:p>
    <w:p>
      <w:pPr>
        <w:spacing w:after="240" w:line="360" w:lineRule="auto"/>
        <w:jc w:val="center"/>
        <w:rPr>
          <w:b/>
          <w:sz w:val="22"/>
        </w:rPr>
      </w:pPr>
    </w:p>
    <w:p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drawing>
          <wp:inline distT="0" distB="0" distL="0" distR="0">
            <wp:extent cx="6102350" cy="71094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9714" cy="711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Fig</w:t>
      </w:r>
      <w:r>
        <w:rPr>
          <w:rFonts w:hint="eastAsia" w:ascii="Times New Roman" w:hAnsi="Times New Roman" w:cs="Times New Roman"/>
          <w:b/>
          <w:sz w:val="24"/>
        </w:rPr>
        <w:t>ure</w:t>
      </w:r>
      <w:r>
        <w:rPr>
          <w:rFonts w:ascii="Times New Roman" w:hAnsi="Times New Roman" w:cs="Times New Roman"/>
          <w:b/>
          <w:sz w:val="24"/>
        </w:rPr>
        <w:t xml:space="preserve"> S</w:t>
      </w:r>
      <w:r>
        <w:rPr>
          <w:rFonts w:hint="eastAsia" w:ascii="Times New Roman" w:hAnsi="Times New Roman" w:cs="Times New Roman"/>
          <w:b/>
          <w:sz w:val="24"/>
        </w:rPr>
        <w:t xml:space="preserve">1 </w:t>
      </w:r>
      <w:r>
        <w:rPr>
          <w:rFonts w:ascii="Times New Roman" w:hAnsi="Times New Roman" w:cs="Times New Roman"/>
          <w:b/>
          <w:sz w:val="24"/>
        </w:rPr>
        <w:t xml:space="preserve">Typical GC/MS chromatograms and the </w:t>
      </w:r>
      <w:r>
        <w:rPr>
          <w:rFonts w:hint="eastAsia" w:ascii="Times New Roman" w:hAnsi="Times New Roman" w:cs="Times New Roman"/>
          <w:b/>
          <w:sz w:val="24"/>
        </w:rPr>
        <w:t xml:space="preserve">identified </w:t>
      </w:r>
      <w:r>
        <w:rPr>
          <w:rFonts w:ascii="Times New Roman" w:hAnsi="Times New Roman" w:cs="Times New Roman"/>
          <w:b/>
          <w:sz w:val="24"/>
        </w:rPr>
        <w:t>molecules in the plasma</w:t>
      </w:r>
      <w:r>
        <w:rPr>
          <w:rFonts w:hint="eastAsia" w:ascii="Times New Roman" w:hAnsi="Times New Roman" w:cs="Times New Roman"/>
          <w:b/>
          <w:sz w:val="24"/>
        </w:rPr>
        <w:t xml:space="preserve"> from the control (A), the MI(B), UA (C) and the other non-MI cardiac cases(D)</w:t>
      </w:r>
    </w:p>
    <w:p>
      <w:pPr>
        <w:spacing w:before="240"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The molecules were </w:t>
      </w:r>
      <w:r>
        <w:rPr>
          <w:rFonts w:hint="eastAsia" w:ascii="Times New Roman" w:hAnsi="Times New Roman" w:cs="Times New Roman"/>
          <w:sz w:val="22"/>
        </w:rPr>
        <w:t>aligned</w:t>
      </w:r>
      <w:r>
        <w:rPr>
          <w:rFonts w:ascii="Times New Roman" w:hAnsi="Times New Roman" w:cs="Times New Roman"/>
          <w:sz w:val="22"/>
        </w:rPr>
        <w:t xml:space="preserve"> as:</w:t>
      </w:r>
      <w:r>
        <w:rPr>
          <w:rFonts w:hAnsi="Calibri"/>
          <w:color w:val="000000" w:themeColor="text1"/>
          <w:kern w:val="24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sz w:val="22"/>
        </w:rPr>
        <w:t>1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Pyruvate; 2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Lactate; 3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Alanine; 4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2-Hydroxybutyrate; 5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3-Hydroxybutyrate;  6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Valine, 7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Urea; 8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Leucine; 9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Phosphate;10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isoleucine; 11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Proline; 12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Glycine; 13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Serine; 14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Threonine; 15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 xml:space="preserve">Aspartate; </w:t>
      </w:r>
      <w:r>
        <w:rPr>
          <w:rFonts w:ascii="Times New Roman" w:hAnsi="Times New Roman" w:cs="Times New Roman"/>
          <w:bCs/>
          <w:sz w:val="22"/>
        </w:rPr>
        <w:t>16</w:t>
      </w:r>
      <w:r>
        <w:rPr>
          <w:rFonts w:hint="eastAsia" w:ascii="Times New Roman" w:hAnsi="Times New Roman" w:cs="Times New Roman"/>
          <w:bCs/>
          <w:sz w:val="22"/>
        </w:rPr>
        <w:t>,</w:t>
      </w:r>
      <w:r>
        <w:rPr>
          <w:rFonts w:ascii="Times New Roman" w:hAnsi="Times New Roman" w:cs="Times New Roman"/>
          <w:bCs/>
          <w:sz w:val="22"/>
        </w:rPr>
        <w:t>Oxoproline;</w:t>
      </w:r>
      <w:r>
        <w:rPr>
          <w:rFonts w:ascii="Times New Roman" w:hAnsi="Times New Roman" w:cs="Times New Roman"/>
          <w:sz w:val="22"/>
        </w:rPr>
        <w:t xml:space="preserve"> 17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glutamate; 18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Phenylalanine; 19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Glycerol-2-phosphate;</w:t>
      </w:r>
      <w:r>
        <w:rPr>
          <w:rFonts w:hint="eastAsia"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20</w:t>
      </w:r>
      <w:r>
        <w:rPr>
          <w:rFonts w:hint="eastAsia" w:ascii="Times New Roman" w:hAnsi="Times New Roman" w:cs="Times New Roman"/>
          <w:sz w:val="22"/>
        </w:rPr>
        <w:t>,External standard, methyl-myristate</w:t>
      </w:r>
      <w:r>
        <w:rPr>
          <w:rFonts w:ascii="Times New Roman" w:hAnsi="Times New Roman" w:cs="Times New Roman"/>
          <w:sz w:val="22"/>
        </w:rPr>
        <w:t>; 21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Glutamine, 22</w:t>
      </w:r>
      <w:r>
        <w:rPr>
          <w:rFonts w:hint="eastAsia" w:ascii="Times New Roman" w:hAnsi="Times New Roman" w:cs="Times New Roman"/>
          <w:sz w:val="22"/>
        </w:rPr>
        <w:t>, Internal standard, 13C2-myristic acid</w:t>
      </w:r>
      <w:r>
        <w:rPr>
          <w:rFonts w:ascii="Times New Roman" w:hAnsi="Times New Roman" w:cs="Times New Roman"/>
          <w:sz w:val="22"/>
        </w:rPr>
        <w:t>; 23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Citrate; 24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Glucose; 25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lysine; 26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Tyrosine; 27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bCs/>
          <w:sz w:val="22"/>
        </w:rPr>
        <w:t>D-Allopyranose</w:t>
      </w:r>
      <w:r>
        <w:rPr>
          <w:rFonts w:ascii="Times New Roman" w:hAnsi="Times New Roman" w:cs="Times New Roman"/>
          <w:sz w:val="22"/>
        </w:rPr>
        <w:t>; 28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Palmitic acid; 29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uric acid; 30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myo-inositol;31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Linoleic acid; 32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Oleic acid; 33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Stearic acid; 34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 xml:space="preserve">tryptophan; </w:t>
      </w:r>
      <w:r>
        <w:rPr>
          <w:rFonts w:ascii="Times New Roman" w:hAnsi="Times New Roman" w:cs="Times New Roman"/>
          <w:bCs/>
          <w:sz w:val="22"/>
        </w:rPr>
        <w:t>35</w:t>
      </w:r>
      <w:r>
        <w:rPr>
          <w:rFonts w:hint="eastAsia" w:ascii="Times New Roman" w:hAnsi="Times New Roman" w:cs="Times New Roman"/>
          <w:bCs/>
          <w:sz w:val="22"/>
        </w:rPr>
        <w:t>,</w:t>
      </w:r>
      <w:r>
        <w:rPr>
          <w:rFonts w:ascii="Times New Roman" w:hAnsi="Times New Roman" w:cs="Times New Roman"/>
          <w:bCs/>
          <w:sz w:val="22"/>
        </w:rPr>
        <w:t>Cystine;</w:t>
      </w:r>
      <w:r>
        <w:rPr>
          <w:rFonts w:ascii="Times New Roman" w:hAnsi="Times New Roman" w:cs="Times New Roman"/>
          <w:sz w:val="22"/>
        </w:rPr>
        <w:t xml:space="preserve"> 36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alpha-Tocopherol; 37</w:t>
      </w:r>
      <w:r>
        <w:rPr>
          <w:rFonts w:hint="eastAsia"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>Cholesterol</w:t>
      </w:r>
      <w:r>
        <w:rPr>
          <w:rFonts w:hint="eastAsia" w:ascii="Times New Roman" w:hAnsi="Times New Roman" w:cs="Times New Roman"/>
          <w:sz w:val="22"/>
        </w:rPr>
        <w:t>.</w:t>
      </w:r>
    </w:p>
    <w:p/>
    <w:p>
      <w:pPr>
        <w:jc w:val="center"/>
      </w:pPr>
      <w:r>
        <w:rPr>
          <w:rFonts w:hint="eastAsia"/>
        </w:rPr>
        <w:drawing>
          <wp:inline distT="0" distB="0" distL="0" distR="0">
            <wp:extent cx="4294505" cy="897953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0771" cy="9013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Fig</w:t>
      </w:r>
      <w:r>
        <w:rPr>
          <w:rFonts w:hint="eastAsia" w:ascii="Times New Roman" w:hAnsi="Times New Roman" w:cs="Times New Roman"/>
          <w:b/>
          <w:sz w:val="24"/>
        </w:rPr>
        <w:t>ure</w:t>
      </w:r>
      <w:r>
        <w:rPr>
          <w:rFonts w:ascii="Times New Roman" w:hAnsi="Times New Roman" w:cs="Times New Roman"/>
          <w:b/>
          <w:sz w:val="24"/>
        </w:rPr>
        <w:t xml:space="preserve"> S</w:t>
      </w:r>
      <w:r>
        <w:rPr>
          <w:rFonts w:hint="eastAsia" w:ascii="Times New Roman" w:hAnsi="Times New Roman" w:cs="Times New Roman"/>
          <w:b/>
          <w:sz w:val="24"/>
        </w:rPr>
        <w:t xml:space="preserve">2 </w:t>
      </w:r>
      <w:r>
        <w:rPr>
          <w:rFonts w:ascii="Times New Roman" w:hAnsi="Times New Roman" w:cs="Times New Roman"/>
          <w:b/>
          <w:sz w:val="24"/>
        </w:rPr>
        <w:t xml:space="preserve">Typical </w:t>
      </w:r>
      <w:r>
        <w:rPr>
          <w:rFonts w:hint="eastAsia" w:ascii="Times New Roman" w:hAnsi="Times New Roman" w:cs="Times New Roman"/>
          <w:b/>
          <w:sz w:val="24"/>
        </w:rPr>
        <w:t>L</w:t>
      </w:r>
      <w:r>
        <w:rPr>
          <w:rFonts w:ascii="Times New Roman" w:hAnsi="Times New Roman" w:cs="Times New Roman"/>
          <w:b/>
          <w:sz w:val="24"/>
        </w:rPr>
        <w:t xml:space="preserve">C/MS chromatograms and the </w:t>
      </w:r>
      <w:r>
        <w:rPr>
          <w:rFonts w:hint="eastAsia" w:ascii="Times New Roman" w:hAnsi="Times New Roman" w:cs="Times New Roman"/>
          <w:b/>
          <w:sz w:val="24"/>
        </w:rPr>
        <w:t xml:space="preserve">identified </w:t>
      </w:r>
      <w:r>
        <w:rPr>
          <w:rFonts w:ascii="Times New Roman" w:hAnsi="Times New Roman" w:cs="Times New Roman"/>
          <w:b/>
          <w:sz w:val="24"/>
        </w:rPr>
        <w:t>molecules in the plasma</w:t>
      </w:r>
      <w:r>
        <w:rPr>
          <w:rFonts w:hint="eastAsia" w:ascii="Times New Roman" w:hAnsi="Times New Roman" w:cs="Times New Roman"/>
          <w:b/>
          <w:sz w:val="24"/>
        </w:rPr>
        <w:t xml:space="preserve"> from the control (A), the MI(B), UA (C) and the other non-MI cardiac cases(D)</w:t>
      </w:r>
    </w:p>
    <w:p>
      <w:pPr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sz w:val="22"/>
        </w:rPr>
        <w:t xml:space="preserve">The molecules were </w:t>
      </w:r>
      <w:r>
        <w:rPr>
          <w:rFonts w:hint="eastAsia" w:ascii="Times New Roman" w:hAnsi="Times New Roman" w:cs="Times New Roman"/>
          <w:sz w:val="22"/>
        </w:rPr>
        <w:t>aligned</w:t>
      </w:r>
      <w:r>
        <w:rPr>
          <w:rFonts w:ascii="Times New Roman" w:hAnsi="Times New Roman" w:cs="Times New Roman"/>
          <w:sz w:val="22"/>
        </w:rPr>
        <w:t xml:space="preserve"> as:</w:t>
      </w:r>
      <w:r>
        <w:rPr>
          <w:rFonts w:hint="eastAsia" w:hAnsi="Calibri"/>
          <w:color w:val="000000" w:themeColor="text1"/>
          <w:kern w:val="24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sz w:val="22"/>
        </w:rPr>
        <w:t>1, Deoxyribose 1-phosphate</w:t>
      </w:r>
      <w:r>
        <w:rPr>
          <w:rFonts w:hint="eastAsia" w:ascii="Times New Roman" w:hAnsi="Times New Roman" w:cs="Times New Roman"/>
          <w:sz w:val="22"/>
        </w:rPr>
        <w:t xml:space="preserve">, </w:t>
      </w:r>
      <w:r>
        <w:rPr>
          <w:rFonts w:ascii="Times New Roman" w:hAnsi="Times New Roman" w:cs="Times New Roman"/>
          <w:sz w:val="22"/>
        </w:rPr>
        <w:t>L-Dihydroorotic acid</w:t>
      </w:r>
      <w:r>
        <w:rPr>
          <w:rFonts w:hint="eastAsia" w:ascii="Times New Roman" w:hAnsi="Times New Roman" w:cs="Times New Roman"/>
          <w:sz w:val="22"/>
        </w:rPr>
        <w:t xml:space="preserve">, </w:t>
      </w:r>
      <w:r>
        <w:rPr>
          <w:rFonts w:ascii="Times New Roman" w:hAnsi="Times New Roman" w:cs="Times New Roman"/>
          <w:sz w:val="22"/>
        </w:rPr>
        <w:t>Deoxyuridine; 2, Nicotinic acid; 3, Ureidosuccinic acid; 4, Nicotinamide; 5, Glyceric acid; 6, 2-Aminobenzoic acid; 7, Choline; 8, Carbamoylphosphate; 9, Xanthine</w:t>
      </w:r>
      <w:r>
        <w:rPr>
          <w:rFonts w:hint="eastAsia" w:ascii="Times New Roman" w:hAnsi="Times New Roman" w:cs="Times New Roman"/>
          <w:sz w:val="22"/>
        </w:rPr>
        <w:t>,</w:t>
      </w:r>
      <w:r>
        <w:t xml:space="preserve"> </w:t>
      </w:r>
      <w:r>
        <w:rPr>
          <w:rFonts w:ascii="Times New Roman" w:hAnsi="Times New Roman" w:cs="Times New Roman"/>
          <w:sz w:val="22"/>
        </w:rPr>
        <w:t>Allantoin</w:t>
      </w:r>
      <w:r>
        <w:rPr>
          <w:rFonts w:hint="eastAsia" w:ascii="Times New Roman" w:hAnsi="Times New Roman" w:cs="Times New Roman"/>
          <w:sz w:val="22"/>
        </w:rPr>
        <w:t xml:space="preserve">, </w:t>
      </w:r>
      <w:r>
        <w:rPr>
          <w:rFonts w:ascii="Times New Roman" w:hAnsi="Times New Roman" w:cs="Times New Roman"/>
          <w:sz w:val="22"/>
        </w:rPr>
        <w:t>Lactic acid</w:t>
      </w:r>
      <w:r>
        <w:rPr>
          <w:rFonts w:hint="eastAsia" w:ascii="Times New Roman" w:hAnsi="Times New Roman" w:cs="Times New Roman"/>
          <w:sz w:val="22"/>
        </w:rPr>
        <w:t xml:space="preserve">, </w:t>
      </w:r>
      <w:r>
        <w:rPr>
          <w:rFonts w:ascii="Times New Roman" w:hAnsi="Times New Roman" w:cs="Times New Roman"/>
          <w:sz w:val="22"/>
        </w:rPr>
        <w:t>Orotidine; 10,</w:t>
      </w:r>
      <w:r>
        <w:rPr>
          <w:rFonts w:hint="eastAsia"/>
        </w:rPr>
        <w:t xml:space="preserve"> </w:t>
      </w:r>
      <w:r>
        <w:rPr>
          <w:rFonts w:ascii="Times" w:hAnsi="Times" w:cs="Times"/>
        </w:rPr>
        <w:t>L-Phenylalanine</w:t>
      </w:r>
      <w:r>
        <w:rPr>
          <w:rFonts w:hint="eastAsia" w:ascii="Times New Roman" w:hAnsi="Times New Roman" w:cs="Times New Roman"/>
          <w:sz w:val="22"/>
        </w:rPr>
        <w:t xml:space="preserve">, </w:t>
      </w:r>
      <w:r>
        <w:rPr>
          <w:rFonts w:ascii="Times New Roman" w:hAnsi="Times New Roman" w:cs="Times New Roman"/>
          <w:sz w:val="22"/>
        </w:rPr>
        <w:t>Glucose 6-phosphate</w:t>
      </w:r>
      <w:r>
        <w:rPr>
          <w:rFonts w:hint="eastAsia" w:ascii="Times New Roman" w:hAnsi="Times New Roman" w:cs="Times New Roman"/>
          <w:sz w:val="22"/>
        </w:rPr>
        <w:t xml:space="preserve">, </w:t>
      </w:r>
      <w:r>
        <w:rPr>
          <w:rFonts w:ascii="Times New Roman" w:hAnsi="Times New Roman" w:cs="Times New Roman"/>
          <w:sz w:val="22"/>
        </w:rPr>
        <w:t>Tryptophan</w:t>
      </w:r>
      <w:r>
        <w:rPr>
          <w:rFonts w:hint="eastAsia" w:ascii="Times New Roman" w:hAnsi="Times New Roman" w:cs="Times New Roman"/>
          <w:sz w:val="22"/>
        </w:rPr>
        <w:t xml:space="preserve">, </w:t>
      </w:r>
      <w:r>
        <w:rPr>
          <w:rFonts w:ascii="Times New Roman" w:hAnsi="Times New Roman" w:cs="Times New Roman"/>
          <w:sz w:val="22"/>
        </w:rPr>
        <w:t>Phenylalanine</w:t>
      </w:r>
      <w:r>
        <w:rPr>
          <w:rFonts w:hint="eastAsia" w:ascii="Times New Roman" w:hAnsi="Times New Roman" w:cs="Times New Roman"/>
          <w:sz w:val="22"/>
        </w:rPr>
        <w:t xml:space="preserve">, </w:t>
      </w:r>
      <w:r>
        <w:rPr>
          <w:rFonts w:ascii="Times New Roman" w:hAnsi="Times New Roman" w:cs="Times New Roman"/>
          <w:sz w:val="22"/>
        </w:rPr>
        <w:t>Inosine</w:t>
      </w:r>
      <w:r>
        <w:rPr>
          <w:rFonts w:hint="eastAsia" w:ascii="Times New Roman" w:hAnsi="Times New Roman" w:cs="Times New Roman"/>
          <w:sz w:val="22"/>
        </w:rPr>
        <w:t xml:space="preserve">, </w:t>
      </w:r>
      <w:r>
        <w:rPr>
          <w:rFonts w:ascii="Times" w:hAnsi="Times" w:cs="Times"/>
        </w:rPr>
        <w:t>Adenosine triphosphate</w:t>
      </w:r>
      <w:r>
        <w:rPr>
          <w:rFonts w:ascii="Times New Roman" w:hAnsi="Times New Roman" w:cs="Times New Roman"/>
          <w:sz w:val="22"/>
        </w:rPr>
        <w:t>; 11,</w:t>
      </w:r>
      <w:r>
        <w:rPr>
          <w:rFonts w:hint="eastAsia" w:ascii="Times New Roman" w:hAnsi="Times New Roman" w:cs="Times New Roman"/>
          <w:sz w:val="22"/>
        </w:rPr>
        <w:t xml:space="preserve"> Internal standard, 15N1-glutamine, </w:t>
      </w:r>
      <w:r>
        <w:rPr>
          <w:rFonts w:ascii="Times New Roman" w:hAnsi="Times New Roman" w:cs="Times New Roman"/>
          <w:sz w:val="22"/>
        </w:rPr>
        <w:t>Proline</w:t>
      </w:r>
      <w:r>
        <w:rPr>
          <w:rFonts w:hint="eastAsia" w:ascii="Times New Roman" w:hAnsi="Times New Roman" w:cs="Times New Roman"/>
          <w:sz w:val="22"/>
        </w:rPr>
        <w:t xml:space="preserve">, </w:t>
      </w:r>
      <w:r>
        <w:rPr>
          <w:rFonts w:ascii="Times New Roman" w:hAnsi="Times New Roman" w:cs="Times New Roman"/>
          <w:sz w:val="22"/>
        </w:rPr>
        <w:t>Valine</w:t>
      </w:r>
      <w:r>
        <w:rPr>
          <w:rFonts w:hint="eastAsia" w:ascii="Times New Roman" w:hAnsi="Times New Roman" w:cs="Times New Roman"/>
          <w:sz w:val="22"/>
        </w:rPr>
        <w:t xml:space="preserve">; 12, </w:t>
      </w:r>
      <w:r>
        <w:rPr>
          <w:rFonts w:ascii="Times New Roman" w:hAnsi="Times New Roman" w:cs="Times New Roman"/>
          <w:sz w:val="22"/>
        </w:rPr>
        <w:t>Arginine</w:t>
      </w:r>
      <w:r>
        <w:rPr>
          <w:rFonts w:hint="eastAsia" w:ascii="Times New Roman" w:hAnsi="Times New Roman" w:cs="Times New Roman"/>
          <w:sz w:val="22"/>
        </w:rPr>
        <w:t xml:space="preserve">, 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>Lysine</w:t>
      </w:r>
      <w:r>
        <w:rPr>
          <w:rFonts w:hint="eastAsia" w:ascii="Times New Roman" w:hAnsi="Times New Roman" w:eastAsia="宋体" w:cs="Times New Roman"/>
          <w:color w:val="000000"/>
          <w:kern w:val="0"/>
          <w:szCs w:val="21"/>
        </w:rPr>
        <w:t>.</w:t>
      </w:r>
    </w:p>
    <w:p/>
    <w:p/>
    <w:p>
      <w:pPr>
        <w:adjustRightInd w:val="0"/>
        <w:snapToGrid w:val="0"/>
        <w:spacing w:line="360" w:lineRule="auto"/>
        <w:rPr>
          <w:rFonts w:ascii="Arial Unicode MS" w:hAnsi="Arial Unicode MS" w:eastAsia="Arial Unicode MS" w:cs="Arial Unicode MS"/>
          <w:b/>
          <w:bCs/>
        </w:rPr>
      </w:pPr>
    </w:p>
    <w:p>
      <w:pPr>
        <w:adjustRightInd w:val="0"/>
        <w:snapToGrid w:val="0"/>
        <w:rPr>
          <w:rFonts w:ascii="Arial Unicode MS" w:hAnsi="Arial Unicode MS" w:eastAsia="Arial Unicode MS" w:cs="Arial Unicode MS"/>
          <w:b/>
          <w:bCs/>
        </w:rPr>
      </w:pPr>
    </w:p>
    <w:p>
      <w:pPr>
        <w:adjustRightInd w:val="0"/>
        <w:snapToGrid w:val="0"/>
        <w:jc w:val="center"/>
        <w:rPr>
          <w:rFonts w:ascii="Arial Unicode MS" w:hAnsi="Arial Unicode MS" w:eastAsia="Arial Unicode MS" w:cs="Arial Unicode MS"/>
          <w:b/>
          <w:bCs/>
        </w:rPr>
      </w:pPr>
    </w:p>
    <w:p>
      <w:pPr>
        <w:adjustRightInd w:val="0"/>
        <w:snapToGrid w:val="0"/>
      </w:pPr>
    </w:p>
    <w:p>
      <w:pPr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br w:type="page"/>
      </w:r>
    </w:p>
    <w:p>
      <w:pPr>
        <w:tabs>
          <w:tab w:val="left" w:pos="12761"/>
        </w:tabs>
        <w:adjustRightInd w:val="0"/>
        <w:snapToGrid w:val="0"/>
        <w:rPr>
          <w:rFonts w:ascii="Times New Roman" w:hAnsi="Times New Roman" w:cs="Times New Roman"/>
          <w:sz w:val="24"/>
        </w:rPr>
      </w:pPr>
    </w:p>
    <w:p>
      <w:pPr>
        <w:tabs>
          <w:tab w:val="left" w:pos="12761"/>
        </w:tabs>
        <w:adjustRightInd w:val="0"/>
        <w:snapToGrid w:val="0"/>
        <w:rPr>
          <w:rFonts w:ascii="Times New Roman" w:hAnsi="Times New Roman" w:cs="Times New Roman"/>
          <w:sz w:val="24"/>
        </w:rPr>
      </w:pPr>
    </w:p>
    <w:p>
      <w:pPr>
        <w:tabs>
          <w:tab w:val="left" w:pos="12761"/>
        </w:tabs>
        <w:adjustRightInd w:val="0"/>
        <w:snapToGrid w:val="0"/>
        <w:rPr>
          <w:rFonts w:ascii="Times New Roman" w:hAnsi="Times New Roman" w:cs="Times New Roman"/>
          <w:sz w:val="24"/>
        </w:rPr>
      </w:pPr>
    </w:p>
    <w:p>
      <w:pPr>
        <w:tabs>
          <w:tab w:val="left" w:pos="12761"/>
        </w:tabs>
        <w:adjustRightInd w:val="0"/>
        <w:snapToGrid w:val="0"/>
        <w:rPr>
          <w:rFonts w:hint="eastAsia" w:ascii="Times New Roman" w:hAnsi="Times New Roman" w:cs="Times New Roman" w:eastAsiaTheme="minorEastAsia"/>
          <w:sz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lang w:eastAsia="zh-CN"/>
        </w:rPr>
        <w:drawing>
          <wp:inline distT="0" distB="0" distL="114300" distR="114300">
            <wp:extent cx="5600700" cy="3576955"/>
            <wp:effectExtent l="0" t="0" r="0" b="4445"/>
            <wp:docPr id="1" name="图片 1" descr="Fig S3 重新改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 S3 重新改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3576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2761"/>
        </w:tabs>
        <w:adjustRightInd w:val="0"/>
        <w:snapToGrid w:val="0"/>
        <w:rPr>
          <w:rFonts w:ascii="Times New Roman" w:hAnsi="Times New Roman" w:cs="Times New Roman"/>
          <w:sz w:val="24"/>
        </w:rPr>
      </w:pPr>
    </w:p>
    <w:p>
      <w:pPr>
        <w:tabs>
          <w:tab w:val="right" w:pos="9746"/>
        </w:tabs>
        <w:spacing w:before="240"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Fig</w:t>
      </w:r>
      <w:r>
        <w:rPr>
          <w:rFonts w:hint="eastAsia" w:ascii="Times New Roman" w:hAnsi="Times New Roman" w:cs="Times New Roman"/>
          <w:b/>
          <w:sz w:val="24"/>
        </w:rPr>
        <w:t>ure</w:t>
      </w:r>
      <w:r>
        <w:rPr>
          <w:rFonts w:ascii="Times New Roman" w:hAnsi="Times New Roman" w:cs="Times New Roman"/>
          <w:b/>
          <w:sz w:val="24"/>
        </w:rPr>
        <w:t xml:space="preserve"> S</w:t>
      </w:r>
      <w:r>
        <w:rPr>
          <w:rFonts w:hint="eastAsia" w:ascii="Times New Roman" w:hAnsi="Times New Roman" w:cs="Times New Roman"/>
          <w:b/>
          <w:sz w:val="24"/>
        </w:rPr>
        <w:t>3 metabolic pathways associated with NT-proBNP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hint="eastAsia" w:ascii="Times New Roman" w:hAnsi="Times New Roman" w:cs="Times New Roman"/>
          <w:b/>
          <w:sz w:val="24"/>
        </w:rPr>
        <w:t>and the parameters in a TAC model</w:t>
      </w:r>
      <w:r>
        <w:rPr>
          <w:rFonts w:ascii="Times New Roman" w:hAnsi="Times New Roman" w:cs="Times New Roman"/>
          <w:b/>
          <w:sz w:val="24"/>
        </w:rPr>
        <w:tab/>
      </w:r>
    </w:p>
    <w:p>
      <w:pPr>
        <w:tabs>
          <w:tab w:val="left" w:pos="12761"/>
        </w:tabs>
        <w:adjustRightInd w:val="0"/>
        <w:snapToGrid w:val="0"/>
        <w:rPr>
          <w:rFonts w:ascii="Times New Roman" w:hAnsi="Times New Roman" w:cs="Times New Roman"/>
          <w:b/>
          <w:sz w:val="24"/>
        </w:rPr>
      </w:pPr>
    </w:p>
    <w:p>
      <w:pPr>
        <w:numPr>
          <w:ilvl w:val="0"/>
          <w:numId w:val="1"/>
        </w:numPr>
        <w:adjustRightInd w:val="0"/>
        <w:snapToGrid w:val="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Pathway analysis of the discriminant metabolites between NT-proBNP (+/-) chest pain cases</w:t>
      </w:r>
    </w:p>
    <w:p>
      <w:pPr>
        <w:tabs>
          <w:tab w:val="left" w:pos="12761"/>
        </w:tabs>
        <w:adjustRightInd w:val="0"/>
        <w:snapToGrid w:val="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Arginine biosynthesis is deeply impaired in NT-proBNP(+) cases. </w:t>
      </w:r>
    </w:p>
    <w:p>
      <w:pPr>
        <w:numPr>
          <w:ilvl w:val="0"/>
          <w:numId w:val="1"/>
        </w:numPr>
        <w:tabs>
          <w:tab w:val="left" w:pos="12761"/>
        </w:tabs>
        <w:adjustRightInd w:val="0"/>
        <w:snapToGrid w:val="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Correlation analysis showed homoserine, methionine, deoxyuridine are related to AST and LDH(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pearson correlation analysis, </w:t>
      </w:r>
      <w:r>
        <w:rPr>
          <w:rFonts w:hint="eastAsia" w:ascii="Times New Roman" w:hAnsi="Times New Roman" w:cs="Times New Roman"/>
          <w:sz w:val="24"/>
        </w:rPr>
        <w:t>p&lt;0.05) .</w:t>
      </w:r>
    </w:p>
    <w:p>
      <w:pPr>
        <w:numPr>
          <w:ilvl w:val="0"/>
          <w:numId w:val="1"/>
        </w:numPr>
        <w:tabs>
          <w:tab w:val="left" w:pos="12761"/>
        </w:tabs>
        <w:adjustRightInd w:val="0"/>
        <w:snapToGrid w:val="0"/>
        <w:ind w:left="0" w:leftChars="0" w:firstLine="0" w:firstLineChars="0"/>
        <w:rPr>
          <w:rFonts w:hint="eastAsia" w:ascii="Times New Roman" w:hAnsi="Times New Roman" w:cs="Times New Roman"/>
          <w:sz w:val="24"/>
        </w:rPr>
      </w:pPr>
      <w:r>
        <w:rPr>
          <w:rFonts w:ascii="Times New Roman" w:hAnsi="Times New Roman"/>
          <w:sz w:val="24"/>
        </w:rPr>
        <w:t>TNT</w:t>
      </w:r>
      <w:r>
        <w:rPr>
          <w:rFonts w:hint="eastAsia" w:ascii="Times New Roman" w:hAnsi="Times New Roman"/>
          <w:sz w:val="24"/>
        </w:rPr>
        <w:t xml:space="preserve"> and </w:t>
      </w:r>
      <w:r>
        <w:rPr>
          <w:rFonts w:ascii="Times New Roman" w:hAnsi="Times New Roman"/>
          <w:sz w:val="24"/>
        </w:rPr>
        <w:t>CK-MB</w:t>
      </w:r>
      <w:r>
        <w:rPr>
          <w:rFonts w:hint="eastAsia" w:ascii="Times New Roman" w:hAnsi="Times New Roman"/>
          <w:sz w:val="24"/>
        </w:rPr>
        <w:t xml:space="preserve">, respectively and significantly* related to </w:t>
      </w:r>
      <w:r>
        <w:rPr>
          <w:rFonts w:ascii="Times New Roman" w:hAnsi="Times New Roman"/>
          <w:sz w:val="24"/>
        </w:rPr>
        <w:t xml:space="preserve"> homocysteine, 2-hydroxybutyrate, 3-hydroxybutyrate, stearic acid, palmitic acid and 1-monooleoylglycerol.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hint="eastAsia" w:ascii="Times New Roman" w:hAnsi="Times New Roman"/>
          <w:sz w:val="24"/>
        </w:rPr>
        <w:t xml:space="preserve">*pearson correlation analysis, </w:t>
      </w:r>
      <w:r>
        <w:rPr>
          <w:rFonts w:ascii="Times New Roman" w:hAnsi="Times New Roman"/>
          <w:sz w:val="24"/>
        </w:rPr>
        <w:t>p&lt;0.05)</w:t>
      </w:r>
    </w:p>
    <w:p>
      <w:pPr>
        <w:numPr>
          <w:ilvl w:val="0"/>
          <w:numId w:val="1"/>
        </w:numPr>
        <w:tabs>
          <w:tab w:val="left" w:pos="12761"/>
        </w:tabs>
        <w:adjustRightInd w:val="0"/>
        <w:snapToGrid w:val="0"/>
        <w:rPr>
          <w:rFonts w:hint="eastAsia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Echocardiography of </w:t>
      </w:r>
      <w:r>
        <w:rPr>
          <w:rFonts w:hint="eastAsia" w:ascii="Times New Roman" w:hAnsi="Times New Roman" w:cs="Times New Roman"/>
          <w:sz w:val="24"/>
          <w:lang w:val="en-US" w:eastAsia="zh-CN"/>
        </w:rPr>
        <w:t>TAC</w:t>
      </w:r>
      <w:r>
        <w:rPr>
          <w:rFonts w:hint="eastAsia" w:ascii="Times New Roman" w:hAnsi="Times New Roman" w:cs="Times New Roman"/>
          <w:sz w:val="24"/>
        </w:rPr>
        <w:t xml:space="preserve"> sham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mice in representative </w:t>
      </w:r>
      <w:r>
        <w:rPr>
          <w:rFonts w:hint="eastAsia" w:ascii="Times New Roman" w:hAnsi="Times New Roman" w:cs="Times New Roman"/>
          <w:sz w:val="24"/>
        </w:rPr>
        <w:t>M-mode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photo</w:t>
      </w:r>
      <w:r>
        <w:rPr>
          <w:rFonts w:hint="eastAsia" w:ascii="Times New Roman" w:hAnsi="Times New Roman" w:cs="Times New Roman"/>
          <w:sz w:val="24"/>
        </w:rPr>
        <w:t>.</w:t>
      </w:r>
    </w:p>
    <w:p>
      <w:pPr>
        <w:numPr>
          <w:ilvl w:val="0"/>
          <w:numId w:val="1"/>
        </w:numPr>
        <w:tabs>
          <w:tab w:val="left" w:pos="12761"/>
        </w:tabs>
        <w:adjustRightInd w:val="0"/>
        <w:snapToGrid w:val="0"/>
        <w:ind w:left="0" w:leftChars="0" w:firstLine="0" w:firstLineChars="0"/>
        <w:rPr>
          <w:rFonts w:ascii="Times New Roman" w:hAnsi="Times New Roman" w:cs="Times New Roman"/>
          <w:sz w:val="24"/>
          <w:highlight w:val="none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E</w:t>
      </w:r>
      <w:r>
        <w:rPr>
          <w:rFonts w:hint="eastAsia" w:ascii="Times New Roman" w:hAnsi="Times New Roman" w:cs="Times New Roman"/>
          <w:sz w:val="24"/>
        </w:rPr>
        <w:t>chocardiography of mice TAC model(4weeks post surg</w:t>
      </w:r>
      <w:r>
        <w:rPr>
          <w:rFonts w:hint="eastAsia" w:ascii="Times New Roman" w:hAnsi="Times New Roman" w:cs="Times New Roman"/>
          <w:sz w:val="24"/>
          <w:highlight w:val="none"/>
        </w:rPr>
        <w:t>ery</w:t>
      </w:r>
      <w:r>
        <w:rPr>
          <w:rFonts w:hint="eastAsia" w:ascii="Times New Roman" w:hAnsi="Times New Roman" w:cs="Times New Roman"/>
          <w:sz w:val="24"/>
          <w:highlight w:val="none"/>
          <w:lang w:eastAsia="zh-CN"/>
        </w:rPr>
        <w:t>）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 xml:space="preserve">in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representative </w:t>
      </w:r>
      <w:r>
        <w:rPr>
          <w:rFonts w:hint="eastAsia" w:ascii="Times New Roman" w:hAnsi="Times New Roman" w:cs="Times New Roman"/>
          <w:sz w:val="24"/>
        </w:rPr>
        <w:t>M-mode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photo</w:t>
      </w:r>
      <w:r>
        <w:rPr>
          <w:rFonts w:hint="eastAsia" w:ascii="Times New Roman" w:hAnsi="Times New Roman" w:cs="Times New Roman"/>
          <w:sz w:val="24"/>
          <w:highlight w:val="none"/>
        </w:rPr>
        <w:t>.</w:t>
      </w:r>
    </w:p>
    <w:p>
      <w:pPr>
        <w:numPr>
          <w:ilvl w:val="0"/>
          <w:numId w:val="1"/>
        </w:numPr>
        <w:tabs>
          <w:tab w:val="left" w:pos="12761"/>
        </w:tabs>
        <w:adjustRightInd w:val="0"/>
        <w:snapToGrid w:val="0"/>
        <w:ind w:left="0" w:leftChars="0"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Cardiac function of TAC mice models assessed by ejection fraction.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n=4. </w:t>
      </w:r>
      <w:r>
        <w:rPr>
          <w:rFonts w:hint="eastAsia" w:ascii="Times New Roman" w:hAnsi="Times New Roman" w:cs="Times New Roman"/>
          <w:sz w:val="24"/>
        </w:rPr>
        <w:t>(*</w:t>
      </w:r>
      <w:r>
        <w:rPr>
          <w:rFonts w:hint="eastAsia" w:ascii="Times New Roman" w:hAnsi="Times New Roman" w:cs="Times New Roman"/>
          <w:sz w:val="24"/>
          <w:lang w:val="en-US" w:eastAsia="zh-CN"/>
        </w:rPr>
        <w:t>W</w:t>
      </w:r>
      <w:r>
        <w:rPr>
          <w:rFonts w:hint="eastAsia" w:ascii="Times New Roman" w:hAnsi="Times New Roman" w:cs="Times New Roman"/>
          <w:sz w:val="24"/>
        </w:rPr>
        <w:t xml:space="preserve">eek4 vs </w:t>
      </w:r>
      <w:r>
        <w:rPr>
          <w:rFonts w:hint="eastAsia" w:ascii="Times New Roman" w:hAnsi="Times New Roman" w:cs="Times New Roman"/>
          <w:sz w:val="24"/>
          <w:lang w:val="en-US" w:eastAsia="zh-CN"/>
        </w:rPr>
        <w:t>S</w:t>
      </w:r>
      <w:r>
        <w:rPr>
          <w:rFonts w:hint="eastAsia" w:ascii="Times New Roman" w:hAnsi="Times New Roman" w:cs="Times New Roman"/>
          <w:sz w:val="24"/>
        </w:rPr>
        <w:t>ham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, P&lt;0.05, </w:t>
      </w:r>
      <w:r>
        <w:rPr>
          <w:rFonts w:hint="eastAsia" w:ascii="Times New Roman" w:hAnsi="Times New Roman"/>
          <w:sz w:val="24"/>
          <w:lang w:val="en-US" w:eastAsia="zh-CN"/>
        </w:rPr>
        <w:t>SAX: short axis; PLAX: p</w:t>
      </w:r>
      <w:r>
        <w:rPr>
          <w:rFonts w:ascii="Times New Roman" w:hAnsi="Times New Roman"/>
          <w:sz w:val="24"/>
        </w:rPr>
        <w:t>arasternal long-axis</w:t>
      </w:r>
      <w:r>
        <w:rPr>
          <w:rFonts w:hint="eastAsia" w:ascii="Times New Roman" w:hAnsi="Times New Roman"/>
          <w:sz w:val="24"/>
        </w:rPr>
        <w:t>)</w:t>
      </w:r>
    </w:p>
    <w:p>
      <w:pPr>
        <w:numPr>
          <w:ilvl w:val="0"/>
          <w:numId w:val="1"/>
        </w:numPr>
        <w:tabs>
          <w:tab w:val="left" w:pos="12761"/>
        </w:tabs>
        <w:adjustRightInd w:val="0"/>
        <w:snapToGrid w:val="0"/>
        <w:ind w:left="0" w:leftChars="0" w:firstLine="0" w:firstLineChars="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/>
          <w:sz w:val="24"/>
        </w:rPr>
        <w:t>Neutrophils count</w:t>
      </w:r>
      <w:r>
        <w:rPr>
          <w:rFonts w:hint="eastAsia" w:ascii="Times New Roman" w:hAnsi="Times New Roman"/>
          <w:sz w:val="24"/>
          <w:lang w:val="en-US" w:eastAsia="zh-CN"/>
        </w:rPr>
        <w:t>s</w:t>
      </w:r>
      <w:r>
        <w:rPr>
          <w:rFonts w:hint="eastAsia" w:ascii="Times New Roman" w:hAnsi="Times New Roman"/>
          <w:sz w:val="24"/>
        </w:rPr>
        <w:t xml:space="preserve"> and deoxyurdine level b</w:t>
      </w:r>
      <w:r>
        <w:rPr>
          <w:rFonts w:hint="eastAsia" w:ascii="Times New Roman" w:hAnsi="Times New Roman" w:cs="Times New Roman"/>
          <w:sz w:val="24"/>
        </w:rPr>
        <w:t>etween STEMI</w:t>
      </w:r>
      <w:r>
        <w:rPr>
          <w:rFonts w:hint="eastAsia" w:ascii="Times New Roman" w:hAnsi="Times New Roman" w:cs="Times New Roman"/>
          <w:sz w:val="24"/>
          <w:lang w:val="en-US" w:eastAsia="zh-CN"/>
        </w:rPr>
        <w:t>(n=46)</w:t>
      </w:r>
      <w:r>
        <w:rPr>
          <w:rFonts w:hint="eastAsia" w:ascii="Times New Roman" w:hAnsi="Times New Roman" w:cs="Times New Roman"/>
          <w:sz w:val="24"/>
        </w:rPr>
        <w:t xml:space="preserve"> and NSTEMI cases</w:t>
      </w:r>
      <w:r>
        <w:rPr>
          <w:rFonts w:hint="eastAsia" w:ascii="Times New Roman" w:hAnsi="Times New Roman" w:cs="Times New Roman"/>
          <w:sz w:val="24"/>
          <w:lang w:val="en-US" w:eastAsia="zh-CN"/>
        </w:rPr>
        <w:t>(n=31)</w:t>
      </w:r>
    </w:p>
    <w:p>
      <w:pPr>
        <w:numPr>
          <w:ilvl w:val="0"/>
          <w:numId w:val="1"/>
        </w:numPr>
        <w:tabs>
          <w:tab w:val="left" w:pos="12761"/>
        </w:tabs>
        <w:adjustRightInd w:val="0"/>
        <w:snapToGrid w:val="0"/>
        <w:ind w:left="0" w:leftChars="0" w:firstLine="0" w:firstLineChars="0"/>
        <w:rPr>
          <w:rFonts w:hint="default" w:ascii="Times New Roman" w:hAnsi="Times New Roman" w:cs="Times New Roman" w:eastAsiaTheme="minorEastAsia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Cardiac CDA, ANF and BNP expressions progressively rise in mRNA level as heart damage progresses.</w:t>
      </w:r>
      <w:bookmarkStart w:id="0" w:name="_GoBack"/>
      <w:bookmarkEnd w:id="0"/>
    </w:p>
    <w:p>
      <w:pPr>
        <w:tabs>
          <w:tab w:val="left" w:pos="12761"/>
        </w:tabs>
        <w:adjustRightInd w:val="0"/>
        <w:snapToGrid w:val="0"/>
        <w:rPr>
          <w:rFonts w:hint="default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Student</w:t>
      </w:r>
      <w:r>
        <w:rPr>
          <w:rFonts w:hint="default" w:ascii="Times New Roman" w:hAnsi="Times New Roman" w:cs="Times New Roman"/>
          <w:sz w:val="24"/>
          <w:lang w:val="en-US" w:eastAsia="zh-CN"/>
        </w:rPr>
        <w:t>’</w:t>
      </w:r>
      <w:r>
        <w:rPr>
          <w:rFonts w:hint="eastAsia" w:ascii="Times New Roman" w:hAnsi="Times New Roman" w:cs="Times New Roman"/>
          <w:sz w:val="24"/>
          <w:lang w:val="en-US" w:eastAsia="zh-CN"/>
        </w:rPr>
        <w:t>s t-</w:t>
      </w:r>
      <w:r>
        <w:rPr>
          <w:rFonts w:hint="default" w:ascii="Times New Roman" w:hAnsi="Times New Roman" w:cs="Times New Roman"/>
          <w:sz w:val="24"/>
          <w:lang w:val="en-US" w:eastAsia="zh-CN"/>
        </w:rPr>
        <w:t>test used to calculate significance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in panel C, F and G.</w:t>
      </w:r>
    </w:p>
    <w:sectPr>
      <w:pgSz w:w="11906" w:h="16838"/>
      <w:pgMar w:top="1440" w:right="1080" w:bottom="1440" w:left="108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Roboto">
    <w:panose1 w:val="02000000000000000000"/>
    <w:charset w:val="00"/>
    <w:family w:val="auto"/>
    <w:pitch w:val="default"/>
    <w:sig w:usb0="E0000AFF" w:usb1="5000217F" w:usb2="0000002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9E3746"/>
    <w:multiLevelType w:val="singleLevel"/>
    <w:tmpl w:val="7A9E3746"/>
    <w:lvl w:ilvl="0" w:tentative="0">
      <w:start w:val="1"/>
      <w:numFmt w:val="upperLetter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0C1"/>
    <w:rsid w:val="00142485"/>
    <w:rsid w:val="001A4B4A"/>
    <w:rsid w:val="001A5DED"/>
    <w:rsid w:val="001D3E98"/>
    <w:rsid w:val="002001BE"/>
    <w:rsid w:val="002F0376"/>
    <w:rsid w:val="00523F6F"/>
    <w:rsid w:val="00654B87"/>
    <w:rsid w:val="008A21FA"/>
    <w:rsid w:val="00A240C1"/>
    <w:rsid w:val="00A53002"/>
    <w:rsid w:val="00B12CB7"/>
    <w:rsid w:val="00B248C2"/>
    <w:rsid w:val="00B4274C"/>
    <w:rsid w:val="00C73ECD"/>
    <w:rsid w:val="02375370"/>
    <w:rsid w:val="05C40ACF"/>
    <w:rsid w:val="05F678F8"/>
    <w:rsid w:val="0718449E"/>
    <w:rsid w:val="08E50A24"/>
    <w:rsid w:val="0E36576E"/>
    <w:rsid w:val="12B30BE4"/>
    <w:rsid w:val="187D0961"/>
    <w:rsid w:val="1DB33BE7"/>
    <w:rsid w:val="2FF912AE"/>
    <w:rsid w:val="470946FD"/>
    <w:rsid w:val="4C79048D"/>
    <w:rsid w:val="5DD36D46"/>
    <w:rsid w:val="60A327B5"/>
    <w:rsid w:val="695C5A14"/>
    <w:rsid w:val="696E7D2C"/>
    <w:rsid w:val="75E8366D"/>
    <w:rsid w:val="7F4C5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382</Words>
  <Characters>2179</Characters>
  <Lines>18</Lines>
  <Paragraphs>5</Paragraphs>
  <TotalTime>5</TotalTime>
  <ScaleCrop>false</ScaleCrop>
  <LinksUpToDate>false</LinksUpToDate>
  <CharactersWithSpaces>2556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2020-08-11T01:16:00Z</dcterms:created>
  <dc:creator>Windows 用户</dc:creator>
  <cp:lastModifiedBy>阿楠⊙▽⊙</cp:lastModifiedBy>
  <dcterms:modified xsi:type="dcterms:W3CDTF">2020-09-02T23:55:57Z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