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F18" w:rsidRDefault="00871F18" w:rsidP="00871F18">
      <w:pPr>
        <w:pStyle w:val="NormalWeb"/>
        <w:spacing w:before="0" w:beforeAutospacing="0" w:after="0" w:afterAutospacing="0" w:line="276" w:lineRule="auto"/>
        <w:jc w:val="both"/>
        <w:rPr>
          <w:rFonts w:asciiTheme="minorHAnsi" w:eastAsiaTheme="minorEastAsia" w:hAnsiTheme="minorHAnsi" w:cstheme="minorHAnsi"/>
          <w:b/>
          <w:bCs/>
          <w:color w:val="000000" w:themeColor="text1"/>
          <w:kern w:val="24"/>
          <w:sz w:val="22"/>
          <w:szCs w:val="22"/>
          <w:lang w:val="en-US"/>
        </w:rPr>
      </w:pPr>
      <w:r>
        <w:rPr>
          <w:rFonts w:asciiTheme="minorHAnsi" w:eastAsiaTheme="minorEastAsia" w:hAnsiTheme="minorHAnsi" w:cstheme="minorHAnsi"/>
          <w:b/>
          <w:bCs/>
          <w:color w:val="000000" w:themeColor="text1"/>
          <w:kern w:val="24"/>
          <w:sz w:val="22"/>
          <w:szCs w:val="22"/>
          <w:lang w:val="en-US"/>
        </w:rPr>
        <w:t>Supplementary Figure Legends</w:t>
      </w:r>
    </w:p>
    <w:p w:rsidR="00871F18" w:rsidRPr="00C73CBF" w:rsidRDefault="00871F18" w:rsidP="00871F18">
      <w:pPr>
        <w:pStyle w:val="NormalWeb"/>
        <w:spacing w:before="0" w:beforeAutospacing="0" w:after="0" w:afterAutospacing="0" w:line="276" w:lineRule="auto"/>
        <w:jc w:val="both"/>
        <w:rPr>
          <w:rFonts w:asciiTheme="minorHAnsi" w:eastAsiaTheme="minorEastAsia" w:hAnsiTheme="minorHAnsi" w:cstheme="minorHAnsi"/>
          <w:b/>
          <w:bCs/>
          <w:color w:val="000000" w:themeColor="text1"/>
          <w:kern w:val="24"/>
          <w:sz w:val="20"/>
          <w:szCs w:val="22"/>
          <w:lang w:val="en-US"/>
        </w:rPr>
      </w:pPr>
    </w:p>
    <w:p w:rsidR="00871F18" w:rsidRPr="00C73CBF" w:rsidRDefault="00871F18" w:rsidP="00871F18">
      <w:pPr>
        <w:pStyle w:val="NormalWeb"/>
        <w:spacing w:before="0" w:beforeAutospacing="0" w:after="0" w:afterAutospacing="0" w:line="276" w:lineRule="auto"/>
        <w:rPr>
          <w:sz w:val="22"/>
          <w:szCs w:val="22"/>
          <w:lang w:val="en-US"/>
        </w:rPr>
      </w:pPr>
      <w:r w:rsidRPr="00C73CBF">
        <w:rPr>
          <w:rFonts w:asciiTheme="minorHAnsi" w:eastAsiaTheme="minorEastAsia" w:hAnsi="Calibri" w:cstheme="minorBidi"/>
          <w:b/>
          <w:bCs/>
          <w:color w:val="000000" w:themeColor="text1"/>
          <w:kern w:val="24"/>
          <w:sz w:val="22"/>
          <w:szCs w:val="22"/>
          <w:lang w:val="en-US"/>
        </w:rPr>
        <w:t>Supplementa</w:t>
      </w:r>
      <w:r>
        <w:rPr>
          <w:rFonts w:asciiTheme="minorHAnsi" w:eastAsiaTheme="minorEastAsia" w:hAnsi="Calibri" w:cstheme="minorBidi"/>
          <w:b/>
          <w:bCs/>
          <w:color w:val="000000" w:themeColor="text1"/>
          <w:kern w:val="24"/>
          <w:sz w:val="22"/>
          <w:szCs w:val="22"/>
          <w:lang w:val="en-US"/>
        </w:rPr>
        <w:t>ry</w:t>
      </w:r>
      <w:r w:rsidRPr="00C73CBF">
        <w:rPr>
          <w:rFonts w:asciiTheme="minorHAnsi" w:eastAsiaTheme="minorEastAsia" w:hAnsi="Calibri" w:cstheme="minorBidi"/>
          <w:b/>
          <w:bCs/>
          <w:color w:val="000000" w:themeColor="text1"/>
          <w:kern w:val="24"/>
          <w:sz w:val="22"/>
          <w:szCs w:val="22"/>
          <w:lang w:val="en-US"/>
        </w:rPr>
        <w:t xml:space="preserve"> Figure 1. CD25 and Foxp3 expression, absolute Treg quantification and Tcon:Treg ratio. </w:t>
      </w:r>
      <w:r>
        <w:rPr>
          <w:rFonts w:asciiTheme="minorHAnsi" w:eastAsiaTheme="minorEastAsia" w:hAnsi="Calibri" w:cstheme="minorBidi"/>
          <w:b/>
          <w:bCs/>
          <w:color w:val="000000" w:themeColor="text1"/>
          <w:kern w:val="24"/>
          <w:sz w:val="22"/>
          <w:szCs w:val="22"/>
          <w:lang w:val="en-US"/>
        </w:rPr>
        <w:t>a</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Representative cytometries showing CD25 and Foxp3 staining of CD4+ (</w:t>
      </w:r>
      <w:r>
        <w:rPr>
          <w:rFonts w:asciiTheme="minorHAnsi" w:eastAsiaTheme="minorEastAsia" w:hAnsi="Calibri" w:cstheme="minorBidi"/>
          <w:color w:val="000000" w:themeColor="text1"/>
          <w:kern w:val="24"/>
          <w:sz w:val="22"/>
          <w:szCs w:val="22"/>
          <w:lang w:val="en-US"/>
        </w:rPr>
        <w:t>blue</w:t>
      </w:r>
      <w:r w:rsidRPr="00C73CBF">
        <w:rPr>
          <w:rFonts w:asciiTheme="minorHAnsi" w:eastAsiaTheme="minorEastAsia" w:hAnsi="Calibri" w:cstheme="minorBidi"/>
          <w:color w:val="000000" w:themeColor="text1"/>
          <w:kern w:val="24"/>
          <w:sz w:val="22"/>
          <w:szCs w:val="22"/>
          <w:lang w:val="en-US"/>
        </w:rPr>
        <w:t>) and CD8+ (</w:t>
      </w:r>
      <w:r>
        <w:rPr>
          <w:rFonts w:asciiTheme="minorHAnsi" w:eastAsiaTheme="minorEastAsia" w:hAnsi="Calibri" w:cstheme="minorBidi"/>
          <w:color w:val="000000" w:themeColor="text1"/>
          <w:kern w:val="24"/>
          <w:sz w:val="22"/>
          <w:szCs w:val="22"/>
          <w:lang w:val="en-US"/>
        </w:rPr>
        <w:t>red</w:t>
      </w:r>
      <w:r w:rsidRPr="00C73CBF">
        <w:rPr>
          <w:rFonts w:asciiTheme="minorHAnsi" w:eastAsiaTheme="minorEastAsia" w:hAnsi="Calibri" w:cstheme="minorBidi"/>
          <w:color w:val="000000" w:themeColor="text1"/>
          <w:kern w:val="24"/>
          <w:sz w:val="22"/>
          <w:szCs w:val="22"/>
          <w:lang w:val="en-US"/>
        </w:rPr>
        <w:t xml:space="preserve">) cells after anti-CD3/CD28 activation and ruxolitinib treatment. </w:t>
      </w:r>
      <w:r>
        <w:rPr>
          <w:rFonts w:asciiTheme="minorHAnsi" w:eastAsiaTheme="minorEastAsia" w:hAnsi="Calibri" w:cstheme="minorBidi"/>
          <w:b/>
          <w:bCs/>
          <w:color w:val="000000" w:themeColor="text1"/>
          <w:kern w:val="24"/>
          <w:sz w:val="22"/>
          <w:szCs w:val="22"/>
          <w:lang w:val="en-US"/>
        </w:rPr>
        <w:t>b</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Absolute quantification of CD4+CD25+Foxp3</w:t>
      </w:r>
      <w:r w:rsidRPr="00C73CBF">
        <w:rPr>
          <w:rFonts w:asciiTheme="minorHAnsi" w:eastAsiaTheme="minorEastAsia" w:hAnsi="Calibri" w:cstheme="minorBidi"/>
          <w:color w:val="000000" w:themeColor="text1"/>
          <w:kern w:val="24"/>
          <w:position w:val="7"/>
          <w:sz w:val="22"/>
          <w:szCs w:val="22"/>
          <w:vertAlign w:val="superscript"/>
          <w:lang w:val="en-US"/>
        </w:rPr>
        <w:t>high</w:t>
      </w:r>
      <w:r w:rsidRPr="00C73CBF">
        <w:rPr>
          <w:rFonts w:asciiTheme="minorHAnsi" w:eastAsiaTheme="minorEastAsia" w:hAnsi="Calibri" w:cstheme="minorBidi"/>
          <w:color w:val="000000" w:themeColor="text1"/>
          <w:kern w:val="24"/>
          <w:sz w:val="22"/>
          <w:szCs w:val="22"/>
          <w:lang w:val="en-US"/>
        </w:rPr>
        <w:t xml:space="preserve"> cells. Average and S.E.M. of two independent experiments with three technical replicates each are shown. Cells are normalized to counting beads in the culture (1 bead/50 PBMNCs in the initial culture) </w:t>
      </w:r>
      <w:r>
        <w:rPr>
          <w:rFonts w:asciiTheme="minorHAnsi" w:eastAsiaTheme="minorEastAsia" w:hAnsi="Calibri" w:cstheme="minorBidi"/>
          <w:b/>
          <w:bCs/>
          <w:color w:val="000000" w:themeColor="text1"/>
          <w:kern w:val="24"/>
          <w:sz w:val="22"/>
          <w:szCs w:val="22"/>
          <w:lang w:val="en-US"/>
        </w:rPr>
        <w:t>c</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Quantification of CD4+ or CD8+ to CD4+CD25+Foxp3</w:t>
      </w:r>
      <w:r w:rsidRPr="00C73CBF">
        <w:rPr>
          <w:rFonts w:asciiTheme="minorHAnsi" w:eastAsiaTheme="minorEastAsia" w:hAnsi="Calibri" w:cstheme="minorBidi"/>
          <w:color w:val="000000" w:themeColor="text1"/>
          <w:kern w:val="24"/>
          <w:position w:val="7"/>
          <w:sz w:val="22"/>
          <w:szCs w:val="22"/>
          <w:vertAlign w:val="superscript"/>
          <w:lang w:val="en-US"/>
        </w:rPr>
        <w:t>high</w:t>
      </w:r>
      <w:r w:rsidRPr="00C73CBF">
        <w:rPr>
          <w:rFonts w:asciiTheme="minorHAnsi" w:eastAsiaTheme="minorEastAsia" w:hAnsi="Calibri" w:cstheme="minorBidi"/>
          <w:color w:val="000000" w:themeColor="text1"/>
          <w:kern w:val="24"/>
          <w:sz w:val="22"/>
          <w:szCs w:val="22"/>
          <w:lang w:val="en-US"/>
        </w:rPr>
        <w:t xml:space="preserve"> cells ratio . Average and S.E.M. of two independent experiments with three technical replicates each are shown. </w:t>
      </w:r>
    </w:p>
    <w:p w:rsidR="00871F18" w:rsidRPr="00C73CBF" w:rsidRDefault="00871F18" w:rsidP="00871F18">
      <w:pPr>
        <w:pStyle w:val="NormalWeb"/>
        <w:spacing w:before="0" w:beforeAutospacing="0" w:after="0" w:afterAutospacing="0" w:line="276" w:lineRule="auto"/>
        <w:jc w:val="both"/>
        <w:rPr>
          <w:rFonts w:asciiTheme="minorHAnsi" w:eastAsiaTheme="minorEastAsia" w:hAnsiTheme="minorHAnsi" w:cstheme="minorHAnsi"/>
          <w:color w:val="000000" w:themeColor="text1"/>
          <w:kern w:val="24"/>
          <w:sz w:val="22"/>
          <w:szCs w:val="22"/>
          <w:lang w:val="en-US"/>
        </w:rPr>
      </w:pPr>
    </w:p>
    <w:p w:rsidR="00871F18" w:rsidRPr="00C73CBF" w:rsidRDefault="00871F18" w:rsidP="00871F18">
      <w:pPr>
        <w:pStyle w:val="NormalWeb"/>
        <w:spacing w:before="0" w:beforeAutospacing="0" w:after="0" w:afterAutospacing="0" w:line="276" w:lineRule="auto"/>
        <w:rPr>
          <w:sz w:val="22"/>
          <w:szCs w:val="22"/>
          <w:lang w:val="en-US"/>
        </w:rPr>
      </w:pPr>
      <w:r w:rsidRPr="00C73CBF">
        <w:rPr>
          <w:rFonts w:asciiTheme="minorHAnsi" w:eastAsiaTheme="minorEastAsia" w:hAnsi="Calibri" w:cstheme="minorBidi"/>
          <w:b/>
          <w:bCs/>
          <w:color w:val="000000" w:themeColor="text1"/>
          <w:kern w:val="24"/>
          <w:sz w:val="22"/>
          <w:szCs w:val="22"/>
          <w:lang w:val="en-US"/>
        </w:rPr>
        <w:t>Supplementa</w:t>
      </w:r>
      <w:r>
        <w:rPr>
          <w:rFonts w:asciiTheme="minorHAnsi" w:eastAsiaTheme="minorEastAsia" w:hAnsi="Calibri" w:cstheme="minorBidi"/>
          <w:b/>
          <w:bCs/>
          <w:color w:val="000000" w:themeColor="text1"/>
          <w:kern w:val="24"/>
          <w:sz w:val="22"/>
          <w:szCs w:val="22"/>
          <w:lang w:val="en-US"/>
        </w:rPr>
        <w:t>ry</w:t>
      </w:r>
      <w:r w:rsidRPr="00C73CBF">
        <w:rPr>
          <w:rFonts w:asciiTheme="minorHAnsi" w:eastAsiaTheme="minorEastAsia" w:hAnsi="Calibri" w:cstheme="minorBidi"/>
          <w:b/>
          <w:bCs/>
          <w:color w:val="000000" w:themeColor="text1"/>
          <w:kern w:val="24"/>
          <w:sz w:val="22"/>
          <w:szCs w:val="22"/>
          <w:lang w:val="en-US"/>
        </w:rPr>
        <w:t xml:space="preserve"> Figure 2. Correlation of PD1 and Helios, cytometries of CTLA4 and CD39. </w:t>
      </w:r>
      <w:r>
        <w:rPr>
          <w:rFonts w:asciiTheme="minorHAnsi" w:eastAsiaTheme="minorEastAsia" w:hAnsi="Calibri" w:cstheme="minorBidi"/>
          <w:b/>
          <w:bCs/>
          <w:color w:val="000000" w:themeColor="text1"/>
          <w:kern w:val="24"/>
          <w:sz w:val="22"/>
          <w:szCs w:val="22"/>
          <w:lang w:val="en-US"/>
        </w:rPr>
        <w:t>a</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Freshly isolated huPBMNCs were analyzed for Helios and PD1 expression in CD4+ CD25+ Foxp3</w:t>
      </w:r>
      <w:r w:rsidRPr="00C73CBF">
        <w:rPr>
          <w:rFonts w:asciiTheme="minorHAnsi" w:eastAsiaTheme="minorEastAsia" w:hAnsi="Calibri" w:cstheme="minorBidi"/>
          <w:color w:val="000000" w:themeColor="text1"/>
          <w:kern w:val="24"/>
          <w:position w:val="7"/>
          <w:sz w:val="22"/>
          <w:szCs w:val="22"/>
          <w:vertAlign w:val="superscript"/>
          <w:lang w:val="en-US"/>
        </w:rPr>
        <w:t>high</w:t>
      </w:r>
      <w:r w:rsidRPr="00C73CBF">
        <w:rPr>
          <w:rFonts w:asciiTheme="minorHAnsi" w:eastAsiaTheme="minorEastAsia" w:hAnsi="Calibri" w:cstheme="minorBidi"/>
          <w:color w:val="000000" w:themeColor="text1"/>
          <w:kern w:val="24"/>
          <w:sz w:val="22"/>
          <w:szCs w:val="22"/>
          <w:lang w:val="en-US"/>
        </w:rPr>
        <w:t xml:space="preserve"> Tregs. One representative cytometry is showing the left, and the quantification of 5 independent experiments is shown in the right panel (mean +/-S.E.M.). </w:t>
      </w:r>
      <w:r>
        <w:rPr>
          <w:rFonts w:asciiTheme="minorHAnsi" w:eastAsiaTheme="minorEastAsia" w:hAnsi="Calibri" w:cstheme="minorBidi"/>
          <w:b/>
          <w:bCs/>
          <w:color w:val="000000" w:themeColor="text1"/>
          <w:kern w:val="24"/>
          <w:sz w:val="22"/>
          <w:szCs w:val="22"/>
          <w:lang w:val="en-US"/>
        </w:rPr>
        <w:t>b</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 xml:space="preserve">Dot plot of the percentage of PD1+ cells versus Helios+ cells of CD4+ Foxp3+ gated cells after 2, 5 and 8 days of antiCD3 and antiCD8 stimulation and Ruxolitinib treatments.  The linear regression of each day is shown, with the equation, Pearson correlation (R2) and p value. </w:t>
      </w:r>
      <w:r>
        <w:rPr>
          <w:rFonts w:asciiTheme="minorHAnsi" w:eastAsiaTheme="minorEastAsia" w:hAnsi="Calibri" w:cstheme="minorBidi"/>
          <w:b/>
          <w:bCs/>
          <w:color w:val="000000" w:themeColor="text1"/>
          <w:kern w:val="24"/>
          <w:sz w:val="22"/>
          <w:szCs w:val="22"/>
          <w:lang w:val="en-US"/>
        </w:rPr>
        <w:t>c</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 xml:space="preserve">Representative cytometry of stimulated huPBMNCs, gated for CD4+, showing CD39 and CTLA4 staining after 2, 5 and 8 days of treatment with 0 or 0.3µM Ruxolitinib. </w:t>
      </w:r>
    </w:p>
    <w:p w:rsidR="00871F18" w:rsidRPr="00C73CBF" w:rsidRDefault="00871F18" w:rsidP="00871F18">
      <w:pPr>
        <w:pStyle w:val="NormalWeb"/>
        <w:spacing w:before="0" w:beforeAutospacing="0" w:after="0" w:afterAutospacing="0" w:line="276" w:lineRule="auto"/>
        <w:jc w:val="both"/>
        <w:rPr>
          <w:rFonts w:asciiTheme="minorHAnsi" w:eastAsiaTheme="minorEastAsia" w:hAnsiTheme="minorHAnsi" w:cstheme="minorHAnsi"/>
          <w:color w:val="000000" w:themeColor="text1"/>
          <w:kern w:val="24"/>
          <w:sz w:val="22"/>
          <w:szCs w:val="22"/>
          <w:lang w:val="en-US"/>
        </w:rPr>
      </w:pPr>
    </w:p>
    <w:p w:rsidR="00871F18" w:rsidRPr="00C73CBF" w:rsidRDefault="00871F18" w:rsidP="00871F18">
      <w:pPr>
        <w:pStyle w:val="NormalWeb"/>
        <w:spacing w:before="0" w:beforeAutospacing="0" w:after="0" w:afterAutospacing="0" w:line="276" w:lineRule="auto"/>
        <w:jc w:val="both"/>
        <w:rPr>
          <w:rFonts w:asciiTheme="minorHAnsi" w:hAnsiTheme="minorHAnsi" w:cstheme="minorHAnsi"/>
          <w:sz w:val="22"/>
          <w:szCs w:val="22"/>
          <w:lang w:val="en-US"/>
        </w:rPr>
      </w:pPr>
      <w:r w:rsidRPr="00C73CBF">
        <w:rPr>
          <w:rFonts w:asciiTheme="minorHAnsi" w:eastAsiaTheme="minorEastAsia" w:hAnsiTheme="minorHAnsi" w:cstheme="minorHAnsi"/>
          <w:b/>
          <w:bCs/>
          <w:color w:val="000000" w:themeColor="text1"/>
          <w:kern w:val="24"/>
          <w:sz w:val="22"/>
          <w:szCs w:val="22"/>
          <w:lang w:val="en-US"/>
        </w:rPr>
        <w:t xml:space="preserve">Supplementary Figure 3. Cytometry analysis of samples from the GvHD mouse model. </w:t>
      </w:r>
      <w:r w:rsidRPr="00C73CBF">
        <w:rPr>
          <w:rFonts w:asciiTheme="minorHAnsi" w:eastAsiaTheme="minorEastAsia" w:hAnsiTheme="minorHAnsi" w:cstheme="minorHAnsi"/>
          <w:color w:val="000000" w:themeColor="text1"/>
          <w:kern w:val="24"/>
          <w:sz w:val="22"/>
          <w:szCs w:val="22"/>
          <w:lang w:val="en-US"/>
        </w:rPr>
        <w:t xml:space="preserve">Mice were sacrificed 10 weeks after treatment start (14 weeks after BM transplantation) and the cells of different organs were analyzed by cytometry. </w:t>
      </w:r>
      <w:r w:rsidRPr="00601A98">
        <w:rPr>
          <w:rFonts w:asciiTheme="minorHAnsi" w:eastAsiaTheme="minorEastAsia" w:hAnsiTheme="minorHAnsi" w:cstheme="minorHAnsi"/>
          <w:b/>
          <w:color w:val="000000" w:themeColor="text1"/>
          <w:kern w:val="24"/>
          <w:sz w:val="22"/>
          <w:szCs w:val="22"/>
          <w:lang w:val="en-US"/>
        </w:rPr>
        <w:t>a</w:t>
      </w:r>
      <w:r w:rsidRPr="00C73CBF">
        <w:rPr>
          <w:rFonts w:asciiTheme="minorHAnsi" w:eastAsiaTheme="minorEastAsia" w:hAnsiTheme="minorHAnsi" w:cstheme="minorHAnsi"/>
          <w:color w:val="000000" w:themeColor="text1"/>
          <w:kern w:val="24"/>
          <w:sz w:val="22"/>
          <w:szCs w:val="22"/>
          <w:lang w:val="en-US"/>
        </w:rPr>
        <w:t xml:space="preserve">. Representative cytometries of peripheral blood from BM only transplanted mice (no GvHD), or spleen and BM transplanted cells treated with vehicle, Tregs, Ruxolitinib or both. CD45 gated cells are shown in the upper row for CD3 and CD19 staining, CD3 gated cells are further gated for CD8 and CD4 staining (middle row) and CD4 gated cells are analyzed for CD25 and GFP expression (lower row). </w:t>
      </w:r>
      <w:r>
        <w:rPr>
          <w:rFonts w:asciiTheme="minorHAnsi" w:eastAsiaTheme="minorEastAsia" w:hAnsiTheme="minorHAnsi" w:cstheme="minorHAnsi"/>
          <w:b/>
          <w:bCs/>
          <w:color w:val="000000" w:themeColor="text1"/>
          <w:kern w:val="24"/>
          <w:sz w:val="22"/>
          <w:szCs w:val="22"/>
          <w:lang w:val="en-US"/>
        </w:rPr>
        <w:t>b</w:t>
      </w:r>
      <w:r w:rsidRPr="00C73CBF">
        <w:rPr>
          <w:rFonts w:asciiTheme="minorHAnsi" w:eastAsiaTheme="minorEastAsia" w:hAnsiTheme="minorHAnsi" w:cstheme="minorHAnsi"/>
          <w:b/>
          <w:bCs/>
          <w:color w:val="000000" w:themeColor="text1"/>
          <w:kern w:val="24"/>
          <w:sz w:val="22"/>
          <w:szCs w:val="22"/>
          <w:lang w:val="en-US"/>
        </w:rPr>
        <w:t xml:space="preserve">. </w:t>
      </w:r>
      <w:r w:rsidRPr="00C73CBF">
        <w:rPr>
          <w:rFonts w:asciiTheme="minorHAnsi" w:eastAsiaTheme="minorEastAsia" w:hAnsiTheme="minorHAnsi" w:cstheme="minorHAnsi"/>
          <w:color w:val="000000" w:themeColor="text1"/>
          <w:kern w:val="24"/>
          <w:sz w:val="22"/>
          <w:szCs w:val="22"/>
          <w:lang w:val="en-US"/>
        </w:rPr>
        <w:t xml:space="preserve">Cells from bone marrow are analyzed as in A. </w:t>
      </w:r>
      <w:r>
        <w:rPr>
          <w:rFonts w:asciiTheme="minorHAnsi" w:eastAsiaTheme="minorEastAsia" w:hAnsiTheme="minorHAnsi" w:cstheme="minorHAnsi"/>
          <w:b/>
          <w:bCs/>
          <w:color w:val="000000" w:themeColor="text1"/>
          <w:kern w:val="24"/>
          <w:sz w:val="22"/>
          <w:szCs w:val="22"/>
          <w:lang w:val="en-US"/>
        </w:rPr>
        <w:t>c</w:t>
      </w:r>
      <w:r w:rsidRPr="00C73CBF">
        <w:rPr>
          <w:rFonts w:asciiTheme="minorHAnsi" w:eastAsiaTheme="minorEastAsia" w:hAnsiTheme="minorHAnsi" w:cstheme="minorHAnsi"/>
          <w:b/>
          <w:bCs/>
          <w:color w:val="000000" w:themeColor="text1"/>
          <w:kern w:val="24"/>
          <w:sz w:val="22"/>
          <w:szCs w:val="22"/>
          <w:lang w:val="en-US"/>
        </w:rPr>
        <w:t>.</w:t>
      </w:r>
      <w:r w:rsidRPr="00C73CBF">
        <w:rPr>
          <w:rFonts w:asciiTheme="minorHAnsi" w:eastAsiaTheme="minorEastAsia" w:hAnsiTheme="minorHAnsi" w:cstheme="minorHAnsi"/>
          <w:color w:val="000000" w:themeColor="text1"/>
          <w:kern w:val="24"/>
          <w:sz w:val="22"/>
          <w:szCs w:val="22"/>
          <w:lang w:val="en-US"/>
        </w:rPr>
        <w:t xml:space="preserve"> Cells from BM are stained for Foxp3 expression. Cells are gated for CD4 expression (upper row), and the represented for Foxp3 versus CD25 (middle row) or Foxp3 versus GFP. GFP signal is reduced compared to figure B due to the fixation and permeabilization used for Foxp3 intracellular staining. </w:t>
      </w:r>
      <w:r>
        <w:rPr>
          <w:rFonts w:asciiTheme="minorHAnsi" w:eastAsiaTheme="minorEastAsia" w:hAnsiTheme="minorHAnsi" w:cstheme="minorHAnsi"/>
          <w:b/>
          <w:bCs/>
          <w:color w:val="000000" w:themeColor="text1"/>
          <w:kern w:val="24"/>
          <w:sz w:val="22"/>
          <w:szCs w:val="22"/>
          <w:lang w:val="en-US"/>
        </w:rPr>
        <w:t>d</w:t>
      </w:r>
      <w:r w:rsidRPr="00C73CBF">
        <w:rPr>
          <w:rFonts w:asciiTheme="minorHAnsi" w:eastAsiaTheme="minorEastAsia" w:hAnsiTheme="minorHAnsi" w:cstheme="minorHAnsi"/>
          <w:b/>
          <w:bCs/>
          <w:color w:val="000000" w:themeColor="text1"/>
          <w:kern w:val="24"/>
          <w:sz w:val="22"/>
          <w:szCs w:val="22"/>
          <w:lang w:val="en-US"/>
        </w:rPr>
        <w:t xml:space="preserve">. </w:t>
      </w:r>
      <w:r w:rsidRPr="00C73CBF">
        <w:rPr>
          <w:rFonts w:asciiTheme="minorHAnsi" w:eastAsiaTheme="minorEastAsia" w:hAnsiTheme="minorHAnsi" w:cstheme="minorHAnsi"/>
          <w:color w:val="000000" w:themeColor="text1"/>
          <w:kern w:val="24"/>
          <w:sz w:val="22"/>
          <w:szCs w:val="22"/>
          <w:lang w:val="en-US"/>
        </w:rPr>
        <w:t>Bone marrow biopsies of mice infused with GFP Tregs at the indicated times post-infusion. CD4 gated cells are analyzed for CD25 and GFP expression.</w:t>
      </w:r>
    </w:p>
    <w:p w:rsidR="00871F18" w:rsidRPr="00C73CBF" w:rsidRDefault="00871F18" w:rsidP="00871F18">
      <w:pPr>
        <w:pStyle w:val="NormalWeb"/>
        <w:spacing w:before="0" w:beforeAutospacing="0" w:after="0" w:afterAutospacing="0" w:line="276" w:lineRule="auto"/>
        <w:jc w:val="both"/>
        <w:rPr>
          <w:rFonts w:asciiTheme="minorHAnsi" w:hAnsiTheme="minorHAnsi" w:cstheme="minorHAnsi"/>
          <w:sz w:val="22"/>
          <w:szCs w:val="22"/>
          <w:lang w:val="en-US"/>
        </w:rPr>
      </w:pPr>
    </w:p>
    <w:p w:rsidR="00871F18" w:rsidRPr="00C73CBF" w:rsidRDefault="00871F18" w:rsidP="00871F18">
      <w:pPr>
        <w:pStyle w:val="NormalWeb"/>
        <w:spacing w:before="0" w:beforeAutospacing="0" w:after="0" w:afterAutospacing="0" w:line="276" w:lineRule="auto"/>
        <w:rPr>
          <w:sz w:val="22"/>
          <w:szCs w:val="22"/>
        </w:rPr>
      </w:pPr>
      <w:r w:rsidRPr="00C73CBF">
        <w:rPr>
          <w:rFonts w:asciiTheme="minorHAnsi" w:eastAsiaTheme="minorEastAsia" w:hAnsi="Calibri" w:cstheme="minorBidi"/>
          <w:b/>
          <w:bCs/>
          <w:color w:val="000000" w:themeColor="text1"/>
          <w:kern w:val="24"/>
          <w:sz w:val="22"/>
          <w:szCs w:val="22"/>
          <w:lang w:val="en-US"/>
        </w:rPr>
        <w:t xml:space="preserve">Supplementary figure 4. Quantification of cell populations in the GvHD mouse model. </w:t>
      </w:r>
      <w:r>
        <w:rPr>
          <w:rFonts w:asciiTheme="minorHAnsi" w:eastAsiaTheme="minorEastAsia" w:hAnsi="Calibri" w:cstheme="minorBidi"/>
          <w:b/>
          <w:bCs/>
          <w:color w:val="000000" w:themeColor="text1"/>
          <w:kern w:val="24"/>
          <w:sz w:val="22"/>
          <w:szCs w:val="22"/>
          <w:lang w:val="en-US"/>
        </w:rPr>
        <w:t>a</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Peripheral blood samples were extracted from mice at 2, 4 and 6 weeks after treatment start (6, 8 and 10 weeks post transplantation). Samples of at least 4 mice per group were analyzed following the gating strategy shown in supplemental figure 3A. Mean and S.E.M. is represented.</w:t>
      </w:r>
      <w:r w:rsidRPr="00C73CBF">
        <w:rPr>
          <w:rFonts w:asciiTheme="minorHAnsi" w:eastAsiaTheme="minorEastAsia" w:hAnsi="Calibri" w:cstheme="minorBidi"/>
          <w:b/>
          <w:bCs/>
          <w:color w:val="000000" w:themeColor="text1"/>
          <w:kern w:val="24"/>
          <w:sz w:val="22"/>
          <w:szCs w:val="22"/>
          <w:lang w:val="en-US"/>
        </w:rPr>
        <w:t xml:space="preserve"> </w:t>
      </w:r>
      <w:r>
        <w:rPr>
          <w:rFonts w:asciiTheme="minorHAnsi" w:eastAsiaTheme="minorEastAsia" w:hAnsi="Calibri" w:cstheme="minorBidi"/>
          <w:b/>
          <w:bCs/>
          <w:color w:val="000000" w:themeColor="text1"/>
          <w:kern w:val="24"/>
          <w:sz w:val="22"/>
          <w:szCs w:val="22"/>
          <w:lang w:val="en-US"/>
        </w:rPr>
        <w:t>b</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 xml:space="preserve">Mice were sacrificed 10 weeks after treatment start (14 weeks after BM transplantation). Cell populations from peripheral blood, bone marrow (BM), large intestine (LI), Peyer´s patches (PP), small intestine (SI), spleen and thymus were analyzed as in A. </w:t>
      </w:r>
      <w:r>
        <w:rPr>
          <w:rFonts w:asciiTheme="minorHAnsi" w:eastAsiaTheme="minorEastAsia" w:hAnsi="Calibri" w:cstheme="minorBidi"/>
          <w:b/>
          <w:bCs/>
          <w:color w:val="000000" w:themeColor="text1"/>
          <w:kern w:val="24"/>
          <w:sz w:val="22"/>
          <w:szCs w:val="22"/>
          <w:lang w:val="en-US"/>
        </w:rPr>
        <w:t>c</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CD25+ Foxp3</w:t>
      </w:r>
      <w:r w:rsidRPr="00C73CBF">
        <w:rPr>
          <w:rFonts w:asciiTheme="minorHAnsi" w:eastAsiaTheme="minorEastAsia" w:hAnsi="Calibri" w:cstheme="minorBidi"/>
          <w:color w:val="000000" w:themeColor="text1"/>
          <w:kern w:val="24"/>
          <w:position w:val="7"/>
          <w:sz w:val="22"/>
          <w:szCs w:val="22"/>
          <w:vertAlign w:val="superscript"/>
          <w:lang w:val="en-US"/>
        </w:rPr>
        <w:t>high</w:t>
      </w:r>
      <w:r w:rsidRPr="00C73CBF">
        <w:rPr>
          <w:rFonts w:asciiTheme="minorHAnsi" w:eastAsiaTheme="minorEastAsia" w:hAnsi="Calibri" w:cstheme="minorBidi"/>
          <w:color w:val="000000" w:themeColor="text1"/>
          <w:kern w:val="24"/>
          <w:sz w:val="22"/>
          <w:szCs w:val="22"/>
          <w:lang w:val="en-US"/>
        </w:rPr>
        <w:t xml:space="preserve"> Tregs from peripheral blood, bone marrow (BM), spleen and thymus were analyzed following the gating strategy shown in supplementary figure 3C. Mean and S.E.M. is represented.</w:t>
      </w:r>
      <w:r w:rsidRPr="00C73CBF">
        <w:rPr>
          <w:rFonts w:asciiTheme="minorHAnsi" w:eastAsiaTheme="minorEastAsia" w:hAnsi="Calibri" w:cstheme="minorBidi"/>
          <w:b/>
          <w:bCs/>
          <w:color w:val="000000" w:themeColor="text1"/>
          <w:kern w:val="24"/>
          <w:sz w:val="22"/>
          <w:szCs w:val="22"/>
          <w:lang w:val="en-US"/>
        </w:rPr>
        <w:t xml:space="preserve"> </w:t>
      </w:r>
      <w:r>
        <w:rPr>
          <w:rFonts w:asciiTheme="minorHAnsi" w:eastAsiaTheme="minorEastAsia" w:hAnsi="Calibri" w:cstheme="minorBidi"/>
          <w:b/>
          <w:bCs/>
          <w:color w:val="000000" w:themeColor="text1"/>
          <w:kern w:val="24"/>
          <w:sz w:val="22"/>
          <w:szCs w:val="22"/>
          <w:lang w:val="en-US"/>
        </w:rPr>
        <w:t>d</w:t>
      </w:r>
      <w:r w:rsidRPr="00C73CBF">
        <w:rPr>
          <w:rFonts w:asciiTheme="minorHAnsi" w:eastAsiaTheme="minorEastAsia" w:hAnsi="Calibri" w:cstheme="minorBidi"/>
          <w:b/>
          <w:bCs/>
          <w:color w:val="000000" w:themeColor="text1"/>
          <w:kern w:val="24"/>
          <w:sz w:val="22"/>
          <w:szCs w:val="22"/>
          <w:lang w:val="en-US"/>
        </w:rPr>
        <w:t xml:space="preserve">. </w:t>
      </w:r>
      <w:r w:rsidRPr="00C73CBF">
        <w:rPr>
          <w:rFonts w:asciiTheme="minorHAnsi" w:eastAsiaTheme="minorEastAsia" w:hAnsi="Calibri" w:cstheme="minorBidi"/>
          <w:color w:val="000000" w:themeColor="text1"/>
          <w:kern w:val="24"/>
          <w:sz w:val="22"/>
          <w:szCs w:val="22"/>
          <w:lang w:val="en-US"/>
        </w:rPr>
        <w:t>Blood samples from mice at 2, 4 and 6 weeks after treatment start were analyzed using an haematocytometer. LYM= lymphocytes (10</w:t>
      </w:r>
      <w:r w:rsidRPr="00C73CBF">
        <w:rPr>
          <w:rFonts w:asciiTheme="minorHAnsi" w:eastAsiaTheme="minorEastAsia" w:hAnsi="Calibri" w:cstheme="minorBidi"/>
          <w:color w:val="000000" w:themeColor="text1"/>
          <w:kern w:val="24"/>
          <w:position w:val="7"/>
          <w:sz w:val="22"/>
          <w:szCs w:val="22"/>
          <w:vertAlign w:val="superscript"/>
          <w:lang w:val="en-US"/>
        </w:rPr>
        <w:t>3</w:t>
      </w:r>
      <w:r w:rsidRPr="00C73CBF">
        <w:rPr>
          <w:rFonts w:asciiTheme="minorHAnsi" w:eastAsiaTheme="minorEastAsia" w:hAnsi="Calibri" w:cstheme="minorBidi"/>
          <w:color w:val="000000" w:themeColor="text1"/>
          <w:kern w:val="24"/>
          <w:sz w:val="22"/>
          <w:szCs w:val="22"/>
          <w:lang w:val="en-US"/>
        </w:rPr>
        <w:t>/µl), MON=monocytes (10</w:t>
      </w:r>
      <w:r w:rsidRPr="00C73CBF">
        <w:rPr>
          <w:rFonts w:asciiTheme="minorHAnsi" w:eastAsiaTheme="minorEastAsia" w:hAnsi="Calibri" w:cstheme="minorBidi"/>
          <w:color w:val="000000" w:themeColor="text1"/>
          <w:kern w:val="24"/>
          <w:position w:val="7"/>
          <w:sz w:val="22"/>
          <w:szCs w:val="22"/>
          <w:vertAlign w:val="superscript"/>
          <w:lang w:val="en-US"/>
        </w:rPr>
        <w:t>3</w:t>
      </w:r>
      <w:r w:rsidRPr="00C73CBF">
        <w:rPr>
          <w:rFonts w:asciiTheme="minorHAnsi" w:eastAsiaTheme="minorEastAsia" w:hAnsi="Calibri" w:cstheme="minorBidi"/>
          <w:color w:val="000000" w:themeColor="text1"/>
          <w:kern w:val="24"/>
          <w:sz w:val="22"/>
          <w:szCs w:val="22"/>
          <w:lang w:val="en-US"/>
        </w:rPr>
        <w:t xml:space="preserve">/µl), GRA=granulocytes </w:t>
      </w:r>
      <w:r w:rsidRPr="00C73CBF">
        <w:rPr>
          <w:rFonts w:asciiTheme="minorHAnsi" w:eastAsiaTheme="minorEastAsia" w:hAnsi="Calibri" w:cstheme="minorBidi"/>
          <w:color w:val="000000" w:themeColor="text1"/>
          <w:kern w:val="24"/>
          <w:sz w:val="22"/>
          <w:szCs w:val="22"/>
          <w:lang w:val="en-US"/>
        </w:rPr>
        <w:lastRenderedPageBreak/>
        <w:t>(10</w:t>
      </w:r>
      <w:r w:rsidRPr="00C73CBF">
        <w:rPr>
          <w:rFonts w:asciiTheme="minorHAnsi" w:eastAsiaTheme="minorEastAsia" w:hAnsi="Calibri" w:cstheme="minorBidi"/>
          <w:color w:val="000000" w:themeColor="text1"/>
          <w:kern w:val="24"/>
          <w:position w:val="7"/>
          <w:sz w:val="22"/>
          <w:szCs w:val="22"/>
          <w:vertAlign w:val="superscript"/>
          <w:lang w:val="en-US"/>
        </w:rPr>
        <w:t>3</w:t>
      </w:r>
      <w:r w:rsidRPr="00C73CBF">
        <w:rPr>
          <w:rFonts w:asciiTheme="minorHAnsi" w:eastAsiaTheme="minorEastAsia" w:hAnsi="Calibri" w:cstheme="minorBidi"/>
          <w:color w:val="000000" w:themeColor="text1"/>
          <w:kern w:val="24"/>
          <w:sz w:val="22"/>
          <w:szCs w:val="22"/>
          <w:lang w:val="en-US"/>
        </w:rPr>
        <w:t>/µl), WBC= White blood cells (10</w:t>
      </w:r>
      <w:r w:rsidRPr="00C73CBF">
        <w:rPr>
          <w:rFonts w:asciiTheme="minorHAnsi" w:eastAsiaTheme="minorEastAsia" w:hAnsi="Calibri" w:cstheme="minorBidi"/>
          <w:color w:val="000000" w:themeColor="text1"/>
          <w:kern w:val="24"/>
          <w:position w:val="7"/>
          <w:sz w:val="22"/>
          <w:szCs w:val="22"/>
          <w:vertAlign w:val="superscript"/>
          <w:lang w:val="en-US"/>
        </w:rPr>
        <w:t>3</w:t>
      </w:r>
      <w:r w:rsidRPr="00C73CBF">
        <w:rPr>
          <w:rFonts w:asciiTheme="minorHAnsi" w:eastAsiaTheme="minorEastAsia" w:hAnsi="Calibri" w:cstheme="minorBidi"/>
          <w:color w:val="000000" w:themeColor="text1"/>
          <w:kern w:val="24"/>
          <w:sz w:val="22"/>
          <w:szCs w:val="22"/>
          <w:lang w:val="en-US"/>
        </w:rPr>
        <w:t>/µl), percent_LYM= percentage of lymphocytes, percent_MON= percentage of monocytes, percent_GRA= percentage of granulocytes. p values of a Student T test are shown. Significant values are marked with red arrows.</w:t>
      </w:r>
    </w:p>
    <w:p w:rsidR="00000F57" w:rsidRDefault="00871F18">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F18"/>
    <w:rsid w:val="0007695B"/>
    <w:rsid w:val="005615C6"/>
    <w:rsid w:val="007D4061"/>
    <w:rsid w:val="00871F18"/>
    <w:rsid w:val="008B4EED"/>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6F3007-97F7-4928-BFD9-551567B9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1F18"/>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3284</Characters>
  <Application>Microsoft Office Word</Application>
  <DocSecurity>0</DocSecurity>
  <Lines>27</Lines>
  <Paragraphs>7</Paragraphs>
  <ScaleCrop>false</ScaleCrop>
  <Company>Springer Nature IT</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2021-12-24T05:11:00Z</dcterms:created>
  <dcterms:modified xsi:type="dcterms:W3CDTF">2021-12-24T05:11:00Z</dcterms:modified>
</cp:coreProperties>
</file>