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E6A3B1" w14:textId="7203B9BC" w:rsidR="00BF3FCF" w:rsidRDefault="00BF3FCF" w:rsidP="00BF3FCF">
      <w:pPr>
        <w:suppressAutoHyphens w:val="0"/>
        <w:autoSpaceDE w:val="0"/>
        <w:autoSpaceDN/>
        <w:adjustRightInd w:val="0"/>
        <w:spacing w:line="480" w:lineRule="auto"/>
        <w:jc w:val="both"/>
        <w:textAlignment w:val="auto"/>
        <w:rPr>
          <w:rFonts w:asciiTheme="minorHAnsi" w:eastAsiaTheme="minorHAnsi" w:hAnsiTheme="minorHAnsi" w:cstheme="minorHAnsi"/>
          <w:lang w:val="en-US"/>
        </w:rPr>
      </w:pPr>
      <w:proofErr w:type="spellStart"/>
      <w:r>
        <w:rPr>
          <w:rFonts w:asciiTheme="minorHAnsi" w:eastAsiaTheme="minorHAnsi" w:hAnsiTheme="minorHAnsi" w:cstheme="minorHAnsi"/>
          <w:lang w:val="en-US"/>
        </w:rPr>
        <w:t>Viii</w:t>
      </w:r>
      <w:proofErr w:type="spellEnd"/>
      <w:r w:rsidRPr="002400AA">
        <w:rPr>
          <w:rFonts w:eastAsia="Times New Roman" w:cs="Calibri"/>
          <w:bCs/>
          <w:lang w:val="en-US" w:eastAsia="nl-BE"/>
        </w:rPr>
        <w:t>. SUPPLEMENTARY MATERIAL</w:t>
      </w:r>
    </w:p>
    <w:p w14:paraId="094F28C5" w14:textId="2DA6C5EC" w:rsidR="00BF3FCF" w:rsidRPr="00BF3FCF" w:rsidRDefault="00BF3FCF" w:rsidP="00E71B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/>
        <w:adjustRightInd w:val="0"/>
        <w:spacing w:line="480" w:lineRule="auto"/>
        <w:jc w:val="both"/>
        <w:textAlignment w:val="auto"/>
        <w:rPr>
          <w:rFonts w:asciiTheme="minorHAnsi" w:eastAsiaTheme="minorHAnsi" w:hAnsiTheme="minorHAnsi" w:cstheme="minorHAnsi"/>
          <w:i/>
          <w:iCs/>
          <w:lang w:val="en-US"/>
        </w:rPr>
      </w:pPr>
      <w:r w:rsidRPr="00BF3FCF">
        <w:rPr>
          <w:rFonts w:asciiTheme="minorHAnsi" w:eastAsiaTheme="minorHAnsi" w:hAnsiTheme="minorHAnsi" w:cstheme="minorHAnsi"/>
          <w:i/>
          <w:iCs/>
          <w:lang w:val="en-US"/>
        </w:rPr>
        <w:t xml:space="preserve">S1. Box: Recent </w:t>
      </w:r>
      <w:r w:rsidRPr="00BF3FCF">
        <w:rPr>
          <w:rFonts w:asciiTheme="minorHAnsi" w:eastAsiaTheme="minorHAnsi" w:hAnsiTheme="minorHAnsi" w:cstheme="minorHAnsi"/>
          <w:i/>
          <w:iCs/>
          <w:lang w:val="en-US"/>
        </w:rPr>
        <w:t>developments in the Belgian</w:t>
      </w:r>
      <w:r w:rsidRPr="00BF3FCF">
        <w:rPr>
          <w:rFonts w:asciiTheme="minorHAnsi" w:eastAsiaTheme="minorHAnsi" w:hAnsiTheme="minorHAnsi" w:cstheme="minorHAnsi"/>
          <w:i/>
          <w:iCs/>
          <w:lang w:val="en-US"/>
        </w:rPr>
        <w:t xml:space="preserve"> health information system </w:t>
      </w:r>
    </w:p>
    <w:p w14:paraId="4CC99A6A" w14:textId="49D60122" w:rsidR="00BF3FCF" w:rsidRDefault="00BF3FCF" w:rsidP="00E71B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uppressAutoHyphens w:val="0"/>
        <w:autoSpaceDE w:val="0"/>
        <w:autoSpaceDN/>
        <w:adjustRightInd w:val="0"/>
        <w:spacing w:line="480" w:lineRule="auto"/>
        <w:jc w:val="both"/>
        <w:textAlignment w:val="auto"/>
        <w:rPr>
          <w:rFonts w:asciiTheme="minorHAnsi" w:eastAsiaTheme="minorHAnsi" w:hAnsiTheme="minorHAnsi" w:cstheme="minorHAnsi"/>
          <w:lang w:val="en-US"/>
        </w:rPr>
      </w:pPr>
      <w:r w:rsidRPr="003C1288">
        <w:rPr>
          <w:rFonts w:asciiTheme="minorHAnsi" w:eastAsiaTheme="minorHAnsi" w:hAnsiTheme="minorHAnsi" w:cstheme="minorHAnsi"/>
          <w:lang w:val="en-US"/>
        </w:rPr>
        <w:t xml:space="preserve">Over the last decade, several efforts </w:t>
      </w:r>
      <w:r>
        <w:rPr>
          <w:rFonts w:asciiTheme="minorHAnsi" w:eastAsiaTheme="minorHAnsi" w:hAnsiTheme="minorHAnsi" w:cstheme="minorHAnsi"/>
          <w:lang w:val="en-US"/>
        </w:rPr>
        <w:t xml:space="preserve">to increase harmonization and interoperability </w:t>
      </w:r>
      <w:r w:rsidRPr="003C1288">
        <w:rPr>
          <w:rFonts w:asciiTheme="minorHAnsi" w:eastAsiaTheme="minorHAnsi" w:hAnsiTheme="minorHAnsi" w:cstheme="minorHAnsi"/>
          <w:lang w:val="en-US"/>
        </w:rPr>
        <w:t xml:space="preserve">in the Belgian health information </w:t>
      </w:r>
      <w:r>
        <w:rPr>
          <w:rFonts w:asciiTheme="minorHAnsi" w:eastAsiaTheme="minorHAnsi" w:hAnsiTheme="minorHAnsi" w:cstheme="minorHAnsi"/>
          <w:lang w:val="en-US"/>
        </w:rPr>
        <w:t xml:space="preserve">landscape have been initiated, such as </w:t>
      </w:r>
      <w:r w:rsidRPr="003C1288">
        <w:rPr>
          <w:rFonts w:asciiTheme="minorHAnsi" w:eastAsiaTheme="minorHAnsi" w:hAnsiTheme="minorHAnsi" w:cstheme="minorHAnsi"/>
          <w:lang w:val="en-US"/>
        </w:rPr>
        <w:t xml:space="preserve">the </w:t>
      </w:r>
      <w:r w:rsidRPr="003808C4">
        <w:rPr>
          <w:rFonts w:asciiTheme="minorHAnsi" w:eastAsiaTheme="minorHAnsi" w:hAnsiTheme="minorHAnsi" w:cstheme="minorHAnsi"/>
          <w:lang w:val="en-US"/>
        </w:rPr>
        <w:t xml:space="preserve">national electronic health </w:t>
      </w:r>
      <w:r>
        <w:rPr>
          <w:rFonts w:asciiTheme="minorHAnsi" w:eastAsiaTheme="minorHAnsi" w:hAnsiTheme="minorHAnsi" w:cstheme="minorHAnsi"/>
          <w:lang w:val="en-US"/>
        </w:rPr>
        <w:t>(</w:t>
      </w:r>
      <w:r w:rsidRPr="003C1288">
        <w:rPr>
          <w:rFonts w:asciiTheme="minorHAnsi" w:eastAsiaTheme="minorHAnsi" w:hAnsiTheme="minorHAnsi" w:cstheme="minorHAnsi"/>
          <w:lang w:val="en-US"/>
        </w:rPr>
        <w:t>e</w:t>
      </w:r>
      <w:r>
        <w:rPr>
          <w:rFonts w:asciiTheme="minorHAnsi" w:eastAsiaTheme="minorHAnsi" w:hAnsiTheme="minorHAnsi" w:cstheme="minorHAnsi"/>
          <w:lang w:val="en-US"/>
        </w:rPr>
        <w:t>H</w:t>
      </w:r>
      <w:r w:rsidRPr="003C1288">
        <w:rPr>
          <w:rFonts w:asciiTheme="minorHAnsi" w:eastAsiaTheme="minorHAnsi" w:hAnsiTheme="minorHAnsi" w:cstheme="minorHAnsi"/>
          <w:lang w:val="en-US"/>
        </w:rPr>
        <w:t>ealth</w:t>
      </w:r>
      <w:r>
        <w:rPr>
          <w:rFonts w:asciiTheme="minorHAnsi" w:eastAsiaTheme="minorHAnsi" w:hAnsiTheme="minorHAnsi" w:cstheme="minorHAnsi"/>
          <w:lang w:val="en-US"/>
        </w:rPr>
        <w:t>) action plan</w:t>
      </w:r>
      <w:r w:rsidRPr="003C1288">
        <w:rPr>
          <w:rFonts w:asciiTheme="minorHAnsi" w:eastAsiaTheme="minorHAnsi" w:hAnsiTheme="minorHAnsi" w:cstheme="minorHAnsi"/>
          <w:lang w:val="en-US"/>
        </w:rPr>
        <w:t xml:space="preserve"> in 2008</w:t>
      </w:r>
      <w:r>
        <w:rPr>
          <w:rFonts w:asciiTheme="minorHAnsi" w:eastAsiaTheme="minorHAnsi" w:hAnsiTheme="minorHAnsi" w:cstheme="minorHAnsi"/>
          <w:lang w:val="en-US"/>
        </w:rPr>
        <w:t xml:space="preserve"> and healthdata.be in 2015</w:t>
      </w:r>
      <w:r w:rsidRPr="003C1288">
        <w:rPr>
          <w:rFonts w:asciiTheme="minorHAnsi" w:eastAsiaTheme="minorHAnsi" w:hAnsiTheme="minorHAnsi" w:cstheme="minorHAnsi"/>
          <w:lang w:val="en-US"/>
        </w:rPr>
        <w:t xml:space="preserve">. </w:t>
      </w:r>
      <w:r>
        <w:rPr>
          <w:rFonts w:asciiTheme="minorHAnsi" w:eastAsiaTheme="minorHAnsi" w:hAnsiTheme="minorHAnsi" w:cstheme="minorHAnsi"/>
          <w:lang w:val="en-US"/>
        </w:rPr>
        <w:t xml:space="preserve">eHealth </w:t>
      </w:r>
      <w:r w:rsidRPr="00C72F00">
        <w:rPr>
          <w:rFonts w:asciiTheme="minorHAnsi" w:eastAsiaTheme="minorHAnsi" w:hAnsiTheme="minorHAnsi" w:cstheme="minorHAnsi"/>
          <w:lang w:val="en-US"/>
        </w:rPr>
        <w:t>is a federal government agency whose mission is to support a well-organized, mutual electronic service</w:t>
      </w:r>
      <w:r>
        <w:rPr>
          <w:rFonts w:asciiTheme="minorHAnsi" w:eastAsiaTheme="minorHAnsi" w:hAnsiTheme="minorHAnsi" w:cstheme="minorHAnsi"/>
          <w:lang w:val="en-US"/>
        </w:rPr>
        <w:t xml:space="preserve">, data transfers </w:t>
      </w:r>
      <w:r w:rsidRPr="00C72F00">
        <w:rPr>
          <w:rFonts w:asciiTheme="minorHAnsi" w:eastAsiaTheme="minorHAnsi" w:hAnsiTheme="minorHAnsi" w:cstheme="minorHAnsi"/>
          <w:lang w:val="en-US"/>
        </w:rPr>
        <w:t>and information exchange between all actors in the healthcare sector, with a focus on data security and privacy protection of the patient and the healthcare provide</w:t>
      </w:r>
      <w:r>
        <w:rPr>
          <w:rFonts w:asciiTheme="minorHAnsi" w:eastAsiaTheme="minorHAnsi" w:hAnsiTheme="minorHAnsi" w:cstheme="minorHAnsi"/>
          <w:lang w:val="en-US"/>
        </w:rPr>
        <w:t>r [1]</w:t>
      </w:r>
      <w:r>
        <w:rPr>
          <w:rFonts w:asciiTheme="minorHAnsi" w:eastAsiaTheme="minorHAnsi" w:hAnsiTheme="minorHAnsi" w:cstheme="minorHAnsi"/>
          <w:lang w:val="en-US"/>
        </w:rPr>
        <w:t>. Since 2018, this online data portal also has a personal health viewer (called ‘mijngezondheid.be’), where patients can consult their health information after registration</w:t>
      </w:r>
      <w:r>
        <w:rPr>
          <w:rFonts w:asciiTheme="minorHAnsi" w:eastAsiaTheme="minorHAnsi" w:hAnsiTheme="minorHAnsi" w:cstheme="minorHAnsi"/>
          <w:lang w:val="en-US"/>
        </w:rPr>
        <w:t xml:space="preserve"> [2]</w:t>
      </w:r>
      <w:r>
        <w:rPr>
          <w:rFonts w:asciiTheme="minorHAnsi" w:eastAsiaTheme="minorHAnsi" w:hAnsiTheme="minorHAnsi" w:cstheme="minorHAnsi"/>
          <w:lang w:val="en-US"/>
        </w:rPr>
        <w:t xml:space="preserve">. Healthdata.be as part of eHealth aims to centralize and improve clinical registries in a new data platform. This platform </w:t>
      </w:r>
      <w:r w:rsidRPr="003B2FFB">
        <w:rPr>
          <w:rFonts w:asciiTheme="minorHAnsi" w:eastAsiaTheme="minorHAnsi" w:hAnsiTheme="minorHAnsi" w:cstheme="minorHAnsi"/>
          <w:lang w:val="en-US"/>
        </w:rPr>
        <w:t xml:space="preserve">currently collects data for </w:t>
      </w:r>
      <w:r>
        <w:rPr>
          <w:rFonts w:asciiTheme="minorHAnsi" w:eastAsiaTheme="minorHAnsi" w:hAnsiTheme="minorHAnsi" w:cstheme="minorHAnsi"/>
          <w:lang w:val="en-US"/>
        </w:rPr>
        <w:t xml:space="preserve">more than </w:t>
      </w:r>
      <w:r w:rsidRPr="003B2FFB">
        <w:rPr>
          <w:rFonts w:asciiTheme="minorHAnsi" w:eastAsiaTheme="minorHAnsi" w:hAnsiTheme="minorHAnsi" w:cstheme="minorHAnsi"/>
          <w:lang w:val="en-US"/>
        </w:rPr>
        <w:t>150 clinical registries</w:t>
      </w:r>
      <w:r>
        <w:rPr>
          <w:rFonts w:asciiTheme="minorHAnsi" w:eastAsiaTheme="minorHAnsi" w:hAnsiTheme="minorHAnsi" w:cstheme="minorHAnsi"/>
          <w:lang w:val="en-US"/>
        </w:rPr>
        <w:t xml:space="preserve">, </w:t>
      </w:r>
      <w:r w:rsidRPr="00A77024">
        <w:rPr>
          <w:rFonts w:asciiTheme="minorHAnsi" w:eastAsiaTheme="minorHAnsi" w:hAnsiTheme="minorHAnsi" w:cstheme="minorHAnsi"/>
          <w:lang w:val="en-US"/>
        </w:rPr>
        <w:t xml:space="preserve">from multiple sources such as primary care facilities, laboratories, </w:t>
      </w:r>
      <w:r>
        <w:rPr>
          <w:rFonts w:asciiTheme="minorHAnsi" w:eastAsiaTheme="minorHAnsi" w:hAnsiTheme="minorHAnsi" w:cstheme="minorHAnsi"/>
          <w:lang w:val="en-US"/>
        </w:rPr>
        <w:t xml:space="preserve">and </w:t>
      </w:r>
      <w:r w:rsidRPr="00A77024">
        <w:rPr>
          <w:rFonts w:asciiTheme="minorHAnsi" w:eastAsiaTheme="minorHAnsi" w:hAnsiTheme="minorHAnsi" w:cstheme="minorHAnsi"/>
          <w:lang w:val="en-US"/>
        </w:rPr>
        <w:t>hospitals</w:t>
      </w:r>
      <w:r>
        <w:rPr>
          <w:rFonts w:asciiTheme="minorHAnsi" w:eastAsiaTheme="minorHAnsi" w:hAnsiTheme="minorHAnsi" w:cstheme="minorHAnsi"/>
          <w:lang w:val="en-US"/>
        </w:rPr>
        <w:t>, and each with multiple information systems or EHR</w:t>
      </w:r>
      <w:r>
        <w:rPr>
          <w:rFonts w:asciiTheme="minorHAnsi" w:eastAsiaTheme="minorHAnsi" w:hAnsiTheme="minorHAnsi" w:cstheme="minorHAnsi"/>
          <w:lang w:val="en-US"/>
        </w:rPr>
        <w:t xml:space="preserve"> [3] </w:t>
      </w:r>
      <w:r>
        <w:rPr>
          <w:rFonts w:asciiTheme="minorHAnsi" w:eastAsiaTheme="minorHAnsi" w:hAnsiTheme="minorHAnsi" w:cstheme="minorHAnsi"/>
          <w:lang w:val="en-US"/>
        </w:rPr>
        <w:t xml:space="preserve">. </w:t>
      </w:r>
      <w:r w:rsidRPr="003C1288">
        <w:rPr>
          <w:rFonts w:asciiTheme="minorHAnsi" w:eastAsiaTheme="minorHAnsi" w:hAnsiTheme="minorHAnsi" w:cstheme="minorHAnsi"/>
          <w:lang w:val="en-US"/>
        </w:rPr>
        <w:t xml:space="preserve">However, </w:t>
      </w:r>
      <w:r>
        <w:rPr>
          <w:rFonts w:asciiTheme="minorHAnsi" w:eastAsiaTheme="minorHAnsi" w:hAnsiTheme="minorHAnsi" w:cstheme="minorHAnsi"/>
          <w:lang w:val="en-US"/>
        </w:rPr>
        <w:t xml:space="preserve">there are </w:t>
      </w:r>
      <w:r w:rsidRPr="003C1288">
        <w:rPr>
          <w:rFonts w:asciiTheme="minorHAnsi" w:eastAsiaTheme="minorHAnsi" w:hAnsiTheme="minorHAnsi" w:cstheme="minorHAnsi"/>
          <w:lang w:val="en-US"/>
        </w:rPr>
        <w:t>still ongoing project</w:t>
      </w:r>
      <w:r>
        <w:rPr>
          <w:rFonts w:asciiTheme="minorHAnsi" w:eastAsiaTheme="minorHAnsi" w:hAnsiTheme="minorHAnsi" w:cstheme="minorHAnsi"/>
          <w:lang w:val="en-US"/>
        </w:rPr>
        <w:t>s</w:t>
      </w:r>
      <w:r w:rsidRPr="003C1288">
        <w:rPr>
          <w:rFonts w:asciiTheme="minorHAnsi" w:eastAsiaTheme="minorHAnsi" w:hAnsiTheme="minorHAnsi" w:cstheme="minorHAnsi"/>
          <w:lang w:val="en-US"/>
        </w:rPr>
        <w:t>, where the centralization and integration of data at patient and health service level covering different dimensions of health, health care and costs and in a GDPR</w:t>
      </w:r>
      <w:r>
        <w:rPr>
          <w:rFonts w:asciiTheme="minorHAnsi" w:eastAsiaTheme="minorHAnsi" w:hAnsiTheme="minorHAnsi" w:cstheme="minorHAnsi"/>
          <w:lang w:val="en-US"/>
        </w:rPr>
        <w:t>-</w:t>
      </w:r>
      <w:r w:rsidRPr="003C1288">
        <w:rPr>
          <w:rFonts w:asciiTheme="minorHAnsi" w:eastAsiaTheme="minorHAnsi" w:hAnsiTheme="minorHAnsi" w:cstheme="minorHAnsi"/>
          <w:lang w:val="en-US"/>
        </w:rPr>
        <w:t>proof way, remain challeng</w:t>
      </w:r>
      <w:r>
        <w:rPr>
          <w:rFonts w:asciiTheme="minorHAnsi" w:eastAsiaTheme="minorHAnsi" w:hAnsiTheme="minorHAnsi" w:cstheme="minorHAnsi"/>
          <w:lang w:val="en-US"/>
        </w:rPr>
        <w:t>ing.</w:t>
      </w:r>
      <w:r w:rsidRPr="003C1288">
        <w:rPr>
          <w:rFonts w:asciiTheme="minorHAnsi" w:eastAsiaTheme="minorHAnsi" w:hAnsiTheme="minorHAnsi" w:cstheme="minorHAnsi"/>
          <w:lang w:val="en-US"/>
        </w:rPr>
        <w:t xml:space="preserve"> </w:t>
      </w:r>
    </w:p>
    <w:p w14:paraId="6A47FDA4" w14:textId="26F89224" w:rsidR="00BF3FCF" w:rsidRPr="00E71B2A" w:rsidRDefault="00E71B2A" w:rsidP="00E71B2A">
      <w:pPr>
        <w:suppressAutoHyphens w:val="0"/>
        <w:autoSpaceDE w:val="0"/>
        <w:autoSpaceDN/>
        <w:adjustRightInd w:val="0"/>
        <w:spacing w:line="240" w:lineRule="auto"/>
        <w:textAlignment w:val="auto"/>
        <w:rPr>
          <w:rFonts w:asciiTheme="minorHAnsi" w:eastAsiaTheme="minorHAnsi" w:hAnsiTheme="minorHAnsi" w:cstheme="minorHAnsi"/>
          <w:i/>
          <w:iCs/>
          <w:sz w:val="20"/>
          <w:szCs w:val="20"/>
        </w:rPr>
      </w:pPr>
      <w:r w:rsidRPr="00E71B2A">
        <w:rPr>
          <w:rFonts w:asciiTheme="minorHAnsi" w:eastAsiaTheme="minorHAnsi" w:hAnsiTheme="minorHAnsi" w:cstheme="minorHAnsi"/>
          <w:sz w:val="20"/>
          <w:szCs w:val="20"/>
          <w:lang w:val="en-US"/>
        </w:rPr>
        <w:t xml:space="preserve">Sources: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  <w:vertAlign w:val="superscript"/>
          <w:lang w:val="en-US"/>
        </w:rPr>
        <w:t>1</w:t>
      </w:r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  <w:lang w:val="en-US"/>
        </w:rPr>
        <w:t xml:space="preserve">Federal government,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  <w:lang w:val="en-US"/>
        </w:rPr>
        <w:t xml:space="preserve">e-Health platform.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2021.</w:t>
      </w:r>
      <w:r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hyperlink r:id="rId4" w:history="1">
        <w:r w:rsidRPr="00E71B2A">
          <w:rPr>
            <w:rStyle w:val="Hyperlink"/>
            <w:rFonts w:asciiTheme="minorHAnsi" w:eastAsiaTheme="minorHAnsi" w:hAnsiTheme="minorHAnsi" w:cstheme="minorHAnsi"/>
            <w:i/>
            <w:iCs/>
            <w:sz w:val="20"/>
            <w:szCs w:val="20"/>
          </w:rPr>
          <w:t>https://www.ehealth.fgov.be/ehealthplatform/nl</w:t>
        </w:r>
      </w:hyperlink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;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  <w:vertAlign w:val="superscript"/>
        </w:rPr>
        <w:t>2</w:t>
      </w:r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Federal </w:t>
      </w:r>
      <w:proofErr w:type="spellStart"/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goverment</w:t>
      </w:r>
      <w:proofErr w:type="spellEnd"/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,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Mijn Gezondheid. </w:t>
      </w:r>
      <w:r w:rsidR="00BF3FCF" w:rsidRPr="00E71B2A">
        <w:rPr>
          <w:i/>
          <w:iCs/>
          <w:sz w:val="20"/>
          <w:szCs w:val="20"/>
        </w:rPr>
        <w:t xml:space="preserve">2020. </w:t>
      </w:r>
      <w:hyperlink r:id="rId5" w:history="1">
        <w:r w:rsidRPr="00E71B2A">
          <w:rPr>
            <w:rStyle w:val="Hyperlink"/>
            <w:rFonts w:asciiTheme="minorHAnsi" w:eastAsiaTheme="minorHAnsi" w:hAnsiTheme="minorHAnsi" w:cstheme="minorHAnsi"/>
            <w:i/>
            <w:iCs/>
            <w:sz w:val="20"/>
            <w:szCs w:val="20"/>
          </w:rPr>
          <w:t>https://www.mijngezondheid.belgie.be</w:t>
        </w:r>
      </w:hyperlink>
      <w:r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;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  <w:vertAlign w:val="superscript"/>
        </w:rPr>
        <w:t>3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Delvaux N, </w:t>
      </w:r>
      <w:proofErr w:type="spellStart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Aertgeerts</w:t>
      </w:r>
      <w:proofErr w:type="spellEnd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B, van Bussel</w:t>
      </w:r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JCH</w:t>
      </w:r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, et al.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  <w:lang w:val="en-US"/>
        </w:rPr>
        <w:t xml:space="preserve">Health Data for Research Through a Nationwide Privacy-Proof System in Belgium: Design and Implementation. </w:t>
      </w:r>
      <w:proofErr w:type="spellStart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Jmir</w:t>
      </w:r>
      <w:proofErr w:type="spellEnd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Medical</w:t>
      </w:r>
      <w:proofErr w:type="spellEnd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proofErr w:type="spellStart"/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Informatics</w:t>
      </w:r>
      <w:proofErr w:type="spellEnd"/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.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</w:t>
      </w:r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2018;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6(4)</w:t>
      </w:r>
      <w:r w:rsidR="004C0AF7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>:</w:t>
      </w:r>
      <w:r w:rsidR="00BF3FCF" w:rsidRPr="00E71B2A">
        <w:rPr>
          <w:rFonts w:asciiTheme="minorHAnsi" w:eastAsiaTheme="minorHAnsi" w:hAnsiTheme="minorHAnsi" w:cstheme="minorHAnsi"/>
          <w:i/>
          <w:iCs/>
          <w:sz w:val="20"/>
          <w:szCs w:val="20"/>
        </w:rPr>
        <w:t xml:space="preserve"> 219-228. </w:t>
      </w:r>
    </w:p>
    <w:p w14:paraId="6622DFA3" w14:textId="77777777" w:rsidR="00BF3FCF" w:rsidRDefault="00BF3FCF">
      <w:pPr>
        <w:rPr>
          <w:lang w:val="en-US"/>
        </w:rPr>
      </w:pPr>
    </w:p>
    <w:sectPr w:rsidR="00BF3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APA 6th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ewrwdvs79ep9we9swdxfwf29fwxvd09ex09&quot;&gt;My EndNote Library-Converted&lt;record-ids&gt;&lt;item&gt;1071&lt;/item&gt;&lt;item&gt;1728&lt;/item&gt;&lt;item&gt;1729&lt;/item&gt;&lt;/record-ids&gt;&lt;/item&gt;&lt;/Libraries&gt;"/>
  </w:docVars>
  <w:rsids>
    <w:rsidRoot w:val="00BF3FCF"/>
    <w:rsid w:val="002A4B45"/>
    <w:rsid w:val="004C0AF7"/>
    <w:rsid w:val="009F1530"/>
    <w:rsid w:val="00BF3FCF"/>
    <w:rsid w:val="00E71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6C5D"/>
  <w15:chartTrackingRefBased/>
  <w15:docId w15:val="{370844BB-2E86-48E3-805C-FBC3BDB6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FCF"/>
    <w:pPr>
      <w:suppressAutoHyphens/>
      <w:autoSpaceDN w:val="0"/>
      <w:spacing w:line="256" w:lineRule="auto"/>
      <w:textAlignment w:val="baseline"/>
    </w:pPr>
    <w:rPr>
      <w:rFonts w:ascii="Calibri" w:eastAsia="Calibri" w:hAnsi="Calibri" w:cs="Times New Roman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ard"/>
    <w:link w:val="EndNoteBibliographyTitleChar"/>
    <w:rsid w:val="00BF3FCF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Char">
    <w:name w:val="EndNote Bibliography Title Char"/>
    <w:basedOn w:val="Standaardalinea-lettertype"/>
    <w:link w:val="EndNoteBibliographyTitle"/>
    <w:rsid w:val="00BF3FCF"/>
    <w:rPr>
      <w:rFonts w:ascii="Calibri" w:eastAsia="Calibri" w:hAnsi="Calibri" w:cs="Calibri"/>
      <w:noProof/>
      <w:lang w:val="en-US"/>
    </w:rPr>
  </w:style>
  <w:style w:type="paragraph" w:customStyle="1" w:styleId="EndNoteBibliography">
    <w:name w:val="EndNote Bibliography"/>
    <w:basedOn w:val="Standaard"/>
    <w:link w:val="EndNoteBibliographyChar"/>
    <w:rsid w:val="00BF3FCF"/>
    <w:pPr>
      <w:spacing w:line="240" w:lineRule="auto"/>
    </w:pPr>
    <w:rPr>
      <w:rFonts w:cs="Calibri"/>
      <w:noProof/>
      <w:lang w:val="en-US"/>
    </w:rPr>
  </w:style>
  <w:style w:type="character" w:customStyle="1" w:styleId="EndNoteBibliographyChar">
    <w:name w:val="EndNote Bibliography Char"/>
    <w:basedOn w:val="Standaardalinea-lettertype"/>
    <w:link w:val="EndNoteBibliography"/>
    <w:rsid w:val="00BF3FCF"/>
    <w:rPr>
      <w:rFonts w:ascii="Calibri" w:eastAsia="Calibri" w:hAnsi="Calibri" w:cs="Calibri"/>
      <w:noProof/>
      <w:lang w:val="en-US"/>
    </w:rPr>
  </w:style>
  <w:style w:type="character" w:styleId="Hyperlink">
    <w:name w:val="Hyperlink"/>
    <w:basedOn w:val="Standaardalinea-lettertype"/>
    <w:uiPriority w:val="99"/>
    <w:unhideWhenUsed/>
    <w:rsid w:val="00BF3FCF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F3FCF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BF3F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ijngezondheid.belgie.be" TargetMode="External"/><Relationship Id="rId4" Type="http://schemas.openxmlformats.org/officeDocument/2006/relationships/hyperlink" Target="https://www.ehealth.fgov.be/ehealthplatform/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290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Veerle Buffel</dc:creator>
  <cp:keywords/>
  <dc:description/>
  <cp:lastModifiedBy>Veerle Buffel</cp:lastModifiedBy>
  <cp:revision>1</cp:revision>
  <dcterms:created xsi:type="dcterms:W3CDTF">2021-11-30T13:47:00Z</dcterms:created>
  <dcterms:modified xsi:type="dcterms:W3CDTF">2021-11-30T14:14:00Z</dcterms:modified>
</cp:coreProperties>
</file>