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527" w:rsidRPr="001A4527" w:rsidRDefault="001A4527" w:rsidP="00B73204">
      <w:pPr>
        <w:pBdr>
          <w:top w:val="none" w:sz="0" w:space="0" w:color="auto"/>
          <w:left w:val="none" w:sz="0" w:space="0" w:color="auto"/>
          <w:bottom w:val="none" w:sz="0" w:space="0" w:color="auto"/>
          <w:right w:val="none" w:sz="0" w:space="0" w:color="auto"/>
        </w:pBdr>
        <w:spacing w:after="0" w:line="360" w:lineRule="auto"/>
        <w:jc w:val="both"/>
        <w:rPr>
          <w:rFonts w:ascii="Times New Roman" w:eastAsia="Calibri" w:hAnsi="Times New Roman"/>
          <w:color w:val="auto"/>
          <w:sz w:val="24"/>
          <w:szCs w:val="24"/>
        </w:rPr>
      </w:pPr>
      <w:bookmarkStart w:id="0" w:name="_Toc63930327"/>
      <w:r w:rsidRPr="001A4527">
        <w:rPr>
          <w:rFonts w:ascii="Times New Roman" w:eastAsia="Calibri" w:hAnsi="Times New Roman"/>
          <w:color w:val="auto"/>
          <w:sz w:val="24"/>
          <w:szCs w:val="24"/>
        </w:rPr>
        <w:t xml:space="preserve">Annex </w:t>
      </w:r>
      <w:r w:rsidR="006719EC">
        <w:rPr>
          <w:rFonts w:ascii="Times New Roman" w:eastAsia="Calibri" w:hAnsi="Times New Roman"/>
          <w:color w:val="auto"/>
          <w:sz w:val="24"/>
          <w:szCs w:val="24"/>
        </w:rPr>
        <w:t>A</w:t>
      </w:r>
      <w:r w:rsidRPr="001A4527">
        <w:rPr>
          <w:rFonts w:ascii="Times New Roman" w:eastAsia="Calibri" w:hAnsi="Times New Roman"/>
          <w:color w:val="auto"/>
          <w:sz w:val="24"/>
          <w:szCs w:val="24"/>
        </w:rPr>
        <w:t xml:space="preserve">  </w:t>
      </w:r>
    </w:p>
    <w:p w:rsidR="001A4527" w:rsidRPr="001A4527" w:rsidRDefault="006719EC" w:rsidP="00B73204">
      <w:pPr>
        <w:pBdr>
          <w:top w:val="none" w:sz="0" w:space="0" w:color="auto"/>
          <w:left w:val="none" w:sz="0" w:space="0" w:color="auto"/>
          <w:bottom w:val="none" w:sz="0" w:space="0" w:color="auto"/>
          <w:right w:val="none" w:sz="0" w:space="0" w:color="auto"/>
        </w:pBdr>
        <w:spacing w:after="0" w:line="360" w:lineRule="auto"/>
        <w:jc w:val="both"/>
        <w:rPr>
          <w:rFonts w:ascii="Times New Roman" w:eastAsia="Calibri" w:hAnsi="Times New Roman"/>
          <w:b/>
          <w:color w:val="auto"/>
          <w:sz w:val="24"/>
          <w:szCs w:val="24"/>
        </w:rPr>
      </w:pPr>
      <w:r>
        <w:rPr>
          <w:rFonts w:ascii="Times New Roman" w:eastAsia="Calibri" w:hAnsi="Times New Roman"/>
          <w:b/>
          <w:color w:val="auto"/>
          <w:sz w:val="24"/>
          <w:szCs w:val="24"/>
        </w:rPr>
        <w:t>Table 1</w:t>
      </w:r>
      <w:r w:rsidR="0075172D">
        <w:rPr>
          <w:rFonts w:ascii="Times New Roman" w:eastAsia="Calibri" w:hAnsi="Times New Roman"/>
          <w:b/>
          <w:color w:val="auto"/>
          <w:sz w:val="24"/>
          <w:szCs w:val="24"/>
        </w:rPr>
        <w:t>.</w:t>
      </w:r>
      <w:r>
        <w:rPr>
          <w:rFonts w:ascii="Times New Roman" w:eastAsia="Calibri" w:hAnsi="Times New Roman"/>
          <w:b/>
          <w:color w:val="auto"/>
          <w:sz w:val="24"/>
          <w:szCs w:val="24"/>
        </w:rPr>
        <w:t xml:space="preserve"> </w:t>
      </w:r>
      <w:r w:rsidR="00676013">
        <w:rPr>
          <w:rFonts w:ascii="Times New Roman" w:eastAsia="Calibri" w:hAnsi="Times New Roman"/>
          <w:b/>
          <w:color w:val="auto"/>
          <w:sz w:val="24"/>
          <w:szCs w:val="24"/>
        </w:rPr>
        <w:t xml:space="preserve"> </w:t>
      </w:r>
      <w:r w:rsidR="001A4527" w:rsidRPr="001A4527">
        <w:rPr>
          <w:rFonts w:ascii="Times New Roman" w:eastAsia="Calibri" w:hAnsi="Times New Roman"/>
          <w:b/>
          <w:color w:val="auto"/>
          <w:sz w:val="24"/>
          <w:szCs w:val="24"/>
        </w:rPr>
        <w:t xml:space="preserve">Determinants of </w:t>
      </w:r>
      <w:r w:rsidR="00676013" w:rsidRPr="001A4527">
        <w:rPr>
          <w:rFonts w:ascii="Times New Roman" w:eastAsia="Calibri" w:hAnsi="Times New Roman"/>
          <w:b/>
          <w:color w:val="auto"/>
          <w:sz w:val="24"/>
          <w:szCs w:val="24"/>
        </w:rPr>
        <w:t xml:space="preserve">adoption </w:t>
      </w:r>
      <w:r w:rsidR="00676013">
        <w:rPr>
          <w:rFonts w:ascii="Times New Roman" w:eastAsia="Calibri" w:hAnsi="Times New Roman"/>
          <w:b/>
          <w:color w:val="auto"/>
          <w:sz w:val="24"/>
          <w:szCs w:val="24"/>
        </w:rPr>
        <w:t xml:space="preserve">of </w:t>
      </w:r>
      <w:r w:rsidR="001A4527" w:rsidRPr="001A4527">
        <w:rPr>
          <w:rFonts w:ascii="Times New Roman" w:eastAsia="Calibri" w:hAnsi="Times New Roman"/>
          <w:b/>
          <w:color w:val="auto"/>
          <w:sz w:val="24"/>
          <w:szCs w:val="24"/>
        </w:rPr>
        <w:t xml:space="preserve">CSA innovation </w:t>
      </w:r>
    </w:p>
    <w:tbl>
      <w:tblPr>
        <w:tblStyle w:val="TableGrid1"/>
        <w:tblW w:w="13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5"/>
        <w:gridCol w:w="810"/>
        <w:gridCol w:w="899"/>
        <w:gridCol w:w="870"/>
        <w:gridCol w:w="810"/>
        <w:gridCol w:w="841"/>
        <w:gridCol w:w="1080"/>
        <w:gridCol w:w="622"/>
        <w:gridCol w:w="825"/>
        <w:gridCol w:w="1336"/>
        <w:gridCol w:w="869"/>
        <w:gridCol w:w="961"/>
        <w:gridCol w:w="901"/>
      </w:tblGrid>
      <w:tr w:rsidR="00BF283C" w:rsidRPr="001A4527" w:rsidTr="00EF0F91">
        <w:trPr>
          <w:trHeight w:val="377"/>
        </w:trPr>
        <w:tc>
          <w:tcPr>
            <w:tcW w:w="29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Explanatory variables</w:t>
            </w:r>
          </w:p>
        </w:tc>
        <w:tc>
          <w:tcPr>
            <w:tcW w:w="25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jc w:val="center"/>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Crop residue</w:t>
            </w:r>
            <w:r>
              <w:rPr>
                <w:rFonts w:ascii="Times New Roman" w:eastAsia="Calibri" w:hAnsi="Times New Roman"/>
                <w:b/>
                <w:bCs/>
                <w:color w:val="auto"/>
                <w:sz w:val="16"/>
                <w:szCs w:val="16"/>
              </w:rPr>
              <w:t xml:space="preserve"> management </w:t>
            </w:r>
            <w:r w:rsidRPr="001A4527">
              <w:rPr>
                <w:rFonts w:ascii="Times New Roman" w:eastAsia="Calibri" w:hAnsi="Times New Roman"/>
                <w:b/>
                <w:bCs/>
                <w:color w:val="auto"/>
                <w:sz w:val="16"/>
                <w:szCs w:val="16"/>
              </w:rPr>
              <w:t xml:space="preserve"> </w:t>
            </w:r>
          </w:p>
        </w:tc>
        <w:tc>
          <w:tcPr>
            <w:tcW w:w="27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jc w:val="center"/>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Compost</w:t>
            </w:r>
          </w:p>
        </w:tc>
        <w:tc>
          <w:tcPr>
            <w:tcW w:w="27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jc w:val="center"/>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Soil and water conservation (SWC)</w:t>
            </w:r>
          </w:p>
        </w:tc>
        <w:tc>
          <w:tcPr>
            <w:tcW w:w="27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jc w:val="center"/>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Agroforestry</w:t>
            </w:r>
          </w:p>
        </w:tc>
      </w:tr>
      <w:tr w:rsidR="00BF283C" w:rsidRPr="001A4527" w:rsidTr="00EF0F91">
        <w:trPr>
          <w:trHeight w:val="287"/>
        </w:trPr>
        <w:tc>
          <w:tcPr>
            <w:tcW w:w="296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hAnsi="Times New Roman"/>
                <w:b/>
                <w:bCs/>
                <w:sz w:val="16"/>
                <w:szCs w:val="16"/>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Adopter</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Non adopter</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t-test (chi2)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Adopter</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Non adopter</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t-test (chi2)</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Adopter</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Non adopter</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t-test (chi2)</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Adopter</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Non adopter</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t-test (chi2)</w:t>
            </w:r>
          </w:p>
        </w:tc>
      </w:tr>
      <w:tr w:rsidR="00BF283C" w:rsidRPr="001A4527" w:rsidTr="00EF0F91">
        <w:trPr>
          <w:trHeight w:val="179"/>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Personal Factors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r>
      <w:tr w:rsidR="00BF283C" w:rsidRPr="001A4527" w:rsidTr="00EF0F91">
        <w:trPr>
          <w:trHeight w:val="170"/>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hAnsi="Times New Roman"/>
                <w:sz w:val="16"/>
                <w:szCs w:val="16"/>
              </w:rPr>
            </w:pPr>
            <w:r w:rsidRPr="001A4527">
              <w:rPr>
                <w:rFonts w:ascii="Times New Roman" w:eastAsia="Calibri" w:hAnsi="Times New Roman"/>
                <w:color w:val="auto"/>
                <w:sz w:val="16"/>
                <w:szCs w:val="16"/>
              </w:rPr>
              <w:t>Household head sex</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0.98</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9.62***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0.94</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0.06</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0.94</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0.94</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0.03</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0.99</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0.93</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4.45**</w:t>
            </w:r>
          </w:p>
        </w:tc>
      </w:tr>
      <w:tr w:rsidR="00BF283C" w:rsidRPr="001A4527" w:rsidTr="00EF0F91">
        <w:trPr>
          <w:trHeight w:val="170"/>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Household head age(in Year)</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44.39</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47.55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-2.58**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46.9</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44.6</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1.8*</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46.12</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46.07</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0.04</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48.05</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45.59</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1.62</w:t>
            </w:r>
          </w:p>
        </w:tc>
      </w:tr>
      <w:tr w:rsidR="00BF283C" w:rsidRPr="001A4527" w:rsidTr="00EF0F91">
        <w:trPr>
          <w:trHeight w:val="188"/>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 xml:space="preserve">Household head education level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1.96</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1.54</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5.64***</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1.72</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1.75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2.5</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1.80</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1.66</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1.9*</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1.86</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1.70</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1.73*</w:t>
            </w:r>
          </w:p>
        </w:tc>
      </w:tr>
      <w:tr w:rsidR="00BF283C" w:rsidRPr="001A4527" w:rsidTr="00EF0F91">
        <w:trPr>
          <w:trHeight w:val="188"/>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Household head farm experience (in Year)</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9.46</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11.78</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-2.94***</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10.7</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-0.19</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10.78</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10.65</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0.16</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11.20</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10.59</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0.61</w:t>
            </w:r>
          </w:p>
        </w:tc>
      </w:tr>
      <w:tr w:rsidR="00BF283C" w:rsidRPr="001A4527" w:rsidTr="00EF0F91">
        <w:trPr>
          <w:trHeight w:val="188"/>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Household  size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5.38</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5.22</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0.89</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5.6</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4.7</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5.14***</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5.37</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5.21</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0.86</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6.06</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5.09</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4.4***</w:t>
            </w:r>
          </w:p>
        </w:tc>
      </w:tr>
      <w:tr w:rsidR="00BF283C" w:rsidRPr="001A4527" w:rsidTr="00EF0F91">
        <w:trPr>
          <w:trHeight w:val="197"/>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Climate change awareness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0.27</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18.76***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0.23</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0.09</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12.02***</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0.15</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0.21</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2.59</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0.25</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0.16</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4.03**</w:t>
            </w:r>
          </w:p>
        </w:tc>
      </w:tr>
      <w:tr w:rsidR="00BF283C" w:rsidRPr="001A4527" w:rsidTr="00EF0F91">
        <w:trPr>
          <w:trHeight w:val="197"/>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 xml:space="preserve">CSA awareness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0.32</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31.09</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0.27</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21.35***</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0.21</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0.19</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0.26</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0.32</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0.17</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10.1***</w:t>
            </w:r>
          </w:p>
        </w:tc>
      </w:tr>
      <w:tr w:rsidR="00BF283C" w:rsidRPr="001A4527" w:rsidTr="00EF0F91">
        <w:trPr>
          <w:trHeight w:val="206"/>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Economic Factors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sz w:val="16"/>
                <w:szCs w:val="16"/>
              </w:rPr>
            </w:pP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r>
      <w:tr w:rsidR="00BF283C" w:rsidRPr="001A4527" w:rsidTr="00EF0F91">
        <w:trPr>
          <w:trHeight w:val="215"/>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Number of Plots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1.73</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1.38</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5.06***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1.63</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1.37</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3.37***</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1.60</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1.48</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1.6</w:t>
            </w:r>
          </w:p>
        </w:tc>
        <w:tc>
          <w:tcPr>
            <w:tcW w:w="869"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1.84</w:t>
            </w:r>
          </w:p>
        </w:tc>
        <w:tc>
          <w:tcPr>
            <w:tcW w:w="961"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1.46</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4.28***</w:t>
            </w:r>
          </w:p>
        </w:tc>
      </w:tr>
      <w:tr w:rsidR="00BF283C" w:rsidRPr="001A4527" w:rsidTr="00EF0F91">
        <w:trPr>
          <w:trHeight w:val="170"/>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Total farm size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4.38</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4.23</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4.5</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4.0</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2.9***</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4.20</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4.40</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-1.22</w:t>
            </w:r>
          </w:p>
        </w:tc>
        <w:tc>
          <w:tcPr>
            <w:tcW w:w="869"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4.94</w:t>
            </w:r>
          </w:p>
        </w:tc>
        <w:tc>
          <w:tcPr>
            <w:tcW w:w="961"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4.13</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4.01***</w:t>
            </w:r>
          </w:p>
        </w:tc>
      </w:tr>
      <w:tr w:rsidR="00BF283C" w:rsidRPr="001A4527" w:rsidTr="00EF0F91">
        <w:trPr>
          <w:trHeight w:val="170"/>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Livestock holding</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5.44</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4.38</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3.36***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5.5</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3.6</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6.01***</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4.90</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4.83</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0.21</w:t>
            </w:r>
          </w:p>
        </w:tc>
        <w:tc>
          <w:tcPr>
            <w:tcW w:w="869"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6.22</w:t>
            </w:r>
          </w:p>
        </w:tc>
        <w:tc>
          <w:tcPr>
            <w:tcW w:w="961"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4.52</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4.44***</w:t>
            </w:r>
          </w:p>
        </w:tc>
      </w:tr>
      <w:tr w:rsidR="00BF283C" w:rsidRPr="001A4527" w:rsidTr="00EF0F91">
        <w:trPr>
          <w:trHeight w:val="152"/>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Access to credit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0.52</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0.13</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0.51</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0.01</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0.61</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0.40</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17.43***</w:t>
            </w:r>
          </w:p>
        </w:tc>
        <w:tc>
          <w:tcPr>
            <w:tcW w:w="869"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0.49</w:t>
            </w:r>
          </w:p>
        </w:tc>
        <w:tc>
          <w:tcPr>
            <w:tcW w:w="961"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0.51</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0.07</w:t>
            </w:r>
          </w:p>
        </w:tc>
      </w:tr>
      <w:tr w:rsidR="00BF283C" w:rsidRPr="001A4527" w:rsidTr="00EF0F91">
        <w:trPr>
          <w:trHeight w:val="143"/>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Access to saving</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0.16</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1.24</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0.19</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0.17</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0.13</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0.21</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0.15</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2.39</w:t>
            </w:r>
          </w:p>
        </w:tc>
        <w:tc>
          <w:tcPr>
            <w:tcW w:w="869"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0.16</w:t>
            </w:r>
          </w:p>
        </w:tc>
        <w:tc>
          <w:tcPr>
            <w:tcW w:w="961"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0.19</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0.32</w:t>
            </w:r>
          </w:p>
        </w:tc>
      </w:tr>
      <w:tr w:rsidR="00BF283C" w:rsidRPr="001A4527" w:rsidTr="00EF0F91">
        <w:trPr>
          <w:trHeight w:val="125"/>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Remittance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0.84</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0.86</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0.69</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0.84</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1.04</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0.84</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0.87</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0.76</w:t>
            </w:r>
          </w:p>
        </w:tc>
        <w:tc>
          <w:tcPr>
            <w:tcW w:w="869"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0.76</w:t>
            </w:r>
          </w:p>
        </w:tc>
        <w:tc>
          <w:tcPr>
            <w:tcW w:w="961" w:type="dxa"/>
            <w:tcBorders>
              <w:top w:val="single" w:sz="4" w:space="0" w:color="000000" w:themeColor="text1"/>
              <w:left w:val="single" w:sz="4" w:space="0" w:color="auto"/>
              <w:bottom w:val="single" w:sz="4" w:space="0" w:color="000000" w:themeColor="text1"/>
              <w:right w:val="single" w:sz="4" w:space="0" w:color="auto"/>
            </w:tcBorders>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0.88</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7.45***</w:t>
            </w:r>
          </w:p>
        </w:tc>
      </w:tr>
      <w:tr w:rsidR="00BF283C" w:rsidRPr="001A4527" w:rsidTr="00EF0F91">
        <w:trPr>
          <w:trHeight w:val="206"/>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Institutional Factors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sz w:val="16"/>
                <w:szCs w:val="16"/>
              </w:rPr>
            </w:pP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r>
      <w:tr w:rsidR="00BF283C" w:rsidRPr="001A4527" w:rsidTr="00EF0F91">
        <w:trPr>
          <w:trHeight w:val="215"/>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hAnsi="Times New Roman"/>
                <w:sz w:val="16"/>
                <w:szCs w:val="16"/>
              </w:rPr>
            </w:pPr>
            <w:r w:rsidRPr="001A4527">
              <w:rPr>
                <w:rFonts w:ascii="Times New Roman" w:eastAsia="Calibri" w:hAnsi="Times New Roman"/>
                <w:color w:val="auto"/>
                <w:sz w:val="16"/>
                <w:szCs w:val="16"/>
              </w:rPr>
              <w:t>Agricultural extension service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3.5</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3.69</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- 2.78***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3.7</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2.73***</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3.66</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3.55</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1.68*</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3.66</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3.59</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0.72</w:t>
            </w:r>
          </w:p>
        </w:tc>
      </w:tr>
      <w:tr w:rsidR="00BF283C" w:rsidRPr="001A4527" w:rsidTr="00EF0F91">
        <w:trPr>
          <w:trHeight w:val="170"/>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Market distance (in minutes)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60.24</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63.46</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-0.77</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66.5</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53.3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3.04***</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67.93</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55.92</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2.9***</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60.93</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62.25</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0.26</w:t>
            </w:r>
          </w:p>
        </w:tc>
      </w:tr>
      <w:tr w:rsidR="00BF283C" w:rsidRPr="001A4527" w:rsidTr="00EF0F91">
        <w:trPr>
          <w:trHeight w:val="152"/>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Mobile phone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0.46</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0.38</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3.21*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0.26</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23.21***</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0.56</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0.27</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35.37***</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0.47</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0.40</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1.42</w:t>
            </w:r>
          </w:p>
        </w:tc>
      </w:tr>
      <w:tr w:rsidR="00BF283C" w:rsidRPr="001A4527" w:rsidTr="00EF0F91">
        <w:trPr>
          <w:trHeight w:val="143"/>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 xml:space="preserve">Stand pipe water infrastructure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0.37</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1.91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4.2**</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0.42</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0.25</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12.72***</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0.23</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0.36</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5.42**</w:t>
            </w:r>
          </w:p>
        </w:tc>
      </w:tr>
      <w:tr w:rsidR="00BF283C" w:rsidRPr="001A4527" w:rsidTr="00EF0F91">
        <w:trPr>
          <w:trHeight w:val="215"/>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 xml:space="preserve">Tube well water infrastructure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0.23</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3.11*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0.22</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7.86***</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0.15</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0.37</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25.87***</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0.25</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0.26</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0.05</w:t>
            </w:r>
          </w:p>
        </w:tc>
      </w:tr>
      <w:tr w:rsidR="00BF283C" w:rsidRPr="001A4527" w:rsidTr="00EF0F91">
        <w:trPr>
          <w:trHeight w:val="161"/>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Solar(energy infrastructure )</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0.39</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0.38</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0.41</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1.64</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0.42</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0.36</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1.54</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0.47</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0.36</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3.29*</w:t>
            </w:r>
          </w:p>
        </w:tc>
      </w:tr>
      <w:tr w:rsidR="00BF283C" w:rsidRPr="001A4527" w:rsidTr="00EF0F91">
        <w:trPr>
          <w:trHeight w:val="143"/>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Improved stove(energy infrastructure)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0.36</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0.41</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22.06***</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0.35</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0.31</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0.63</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0.47</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0.29</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10.2***</w:t>
            </w:r>
          </w:p>
        </w:tc>
      </w:tr>
      <w:tr w:rsidR="00BF283C" w:rsidRPr="001A4527" w:rsidTr="00EF0F91">
        <w:trPr>
          <w:trHeight w:val="224"/>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Community work</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0.61</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0.56</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0.96</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0.57</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0.61</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0.44</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0.61</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0.56</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0.91</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0.56</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0.59</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0.21</w:t>
            </w:r>
          </w:p>
        </w:tc>
      </w:tr>
      <w:tr w:rsidR="00BF283C" w:rsidRPr="001A4527" w:rsidTr="00EF0F91">
        <w:trPr>
          <w:trHeight w:val="125"/>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Wenfel</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1.07</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0.35</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0.57</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17.31***</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0.35</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0.51</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11.6***</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0.41</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0.43</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0.08</w:t>
            </w:r>
          </w:p>
        </w:tc>
      </w:tr>
      <w:tr w:rsidR="00BF283C" w:rsidRPr="001A4527" w:rsidTr="00EF0F91">
        <w:trPr>
          <w:trHeight w:val="197"/>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Mahber</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0.86</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0.86</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0.03</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0.77</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13.44***</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0.93</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0.79</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15.84***</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0.91</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0.85</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2.21</w:t>
            </w:r>
          </w:p>
        </w:tc>
      </w:tr>
      <w:tr w:rsidR="00BF283C" w:rsidRPr="001A4527" w:rsidTr="00EF0F91">
        <w:trPr>
          <w:trHeight w:val="179"/>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lastRenderedPageBreak/>
              <w:t>Informal aid from fiends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2.99</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2.21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3.48***</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2.7</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2.4</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1.01</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2.52</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2.62</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-0.44</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2.83</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2.51</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1.14</w:t>
            </w:r>
          </w:p>
        </w:tc>
      </w:tr>
      <w:tr w:rsidR="00BF283C" w:rsidRPr="001A4527" w:rsidTr="00EF0F91">
        <w:trPr>
          <w:trHeight w:val="206"/>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Own  farm plot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0.82</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0.76</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2.32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0.81</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2.43</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0.79</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0.78</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0.12</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0.90</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0.76</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7.75***</w:t>
            </w:r>
          </w:p>
        </w:tc>
      </w:tr>
      <w:tr w:rsidR="00BF283C" w:rsidRPr="001A4527" w:rsidTr="00EF0F91">
        <w:trPr>
          <w:trHeight w:val="170"/>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bCs/>
                <w:color w:val="auto"/>
                <w:sz w:val="16"/>
                <w:szCs w:val="16"/>
              </w:rPr>
            </w:pPr>
            <w:r w:rsidRPr="001A4527">
              <w:rPr>
                <w:rFonts w:ascii="Times New Roman" w:eastAsia="Calibri" w:hAnsi="Times New Roman"/>
                <w:b/>
                <w:bCs/>
                <w:color w:val="auto"/>
                <w:sz w:val="16"/>
                <w:szCs w:val="16"/>
              </w:rPr>
              <w:t>Environmental Factors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heme="minorHAnsi" w:eastAsiaTheme="minorHAnsi" w:hAnsiTheme="minorHAnsi" w:cstheme="minorBidi"/>
                <w:color w:val="auto"/>
              </w:rPr>
            </w:pP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sz w:val="16"/>
                <w:szCs w:val="16"/>
              </w:rPr>
            </w:pP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Theme="minorEastAsia" w:hAnsi="Times New Roman"/>
                <w:color w:val="auto"/>
                <w:sz w:val="16"/>
                <w:szCs w:val="16"/>
              </w:rPr>
            </w:pPr>
          </w:p>
        </w:tc>
      </w:tr>
      <w:tr w:rsidR="00BF283C" w:rsidRPr="001A4527" w:rsidTr="00EF0F91">
        <w:trPr>
          <w:trHeight w:val="242"/>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hAnsi="Times New Roman"/>
                <w:sz w:val="16"/>
                <w:szCs w:val="16"/>
              </w:rPr>
            </w:pPr>
            <w:r w:rsidRPr="001A4527">
              <w:rPr>
                <w:rFonts w:ascii="Times New Roman" w:eastAsia="Calibri" w:hAnsi="Times New Roman"/>
                <w:color w:val="auto"/>
                <w:sz w:val="16"/>
                <w:szCs w:val="16"/>
              </w:rPr>
              <w:t>Degraded farm land</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0.15</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0.19</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1.07</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0.15</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4.31**</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0.19</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0.16</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0.46</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0.20</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0.17</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0.33</w:t>
            </w:r>
          </w:p>
        </w:tc>
      </w:tr>
      <w:tr w:rsidR="00BF283C" w:rsidRPr="001A4527" w:rsidTr="00EF0F91">
        <w:trPr>
          <w:trHeight w:val="179"/>
        </w:trPr>
        <w:tc>
          <w:tcPr>
            <w:tcW w:w="2965"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Erosion prone  farm land</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0.05</w:t>
            </w:r>
          </w:p>
        </w:tc>
        <w:tc>
          <w:tcPr>
            <w:tcW w:w="899"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0.02</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3.77*</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0.04</w:t>
            </w:r>
          </w:p>
        </w:tc>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w:t>
            </w:r>
          </w:p>
        </w:tc>
        <w:tc>
          <w:tcPr>
            <w:tcW w:w="622"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0.05</w:t>
            </w:r>
          </w:p>
        </w:tc>
        <w:tc>
          <w:tcPr>
            <w:tcW w:w="825" w:type="dxa"/>
            <w:tcBorders>
              <w:top w:val="single" w:sz="4" w:space="0" w:color="000000" w:themeColor="text1"/>
              <w:left w:val="single" w:sz="4" w:space="0" w:color="000000" w:themeColor="text1"/>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0.01</w:t>
            </w:r>
          </w:p>
        </w:tc>
        <w:tc>
          <w:tcPr>
            <w:tcW w:w="1336"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4.57**</w:t>
            </w:r>
          </w:p>
        </w:tc>
        <w:tc>
          <w:tcPr>
            <w:tcW w:w="869"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0.01</w:t>
            </w:r>
          </w:p>
        </w:tc>
        <w:tc>
          <w:tcPr>
            <w:tcW w:w="961" w:type="dxa"/>
            <w:tcBorders>
              <w:top w:val="single" w:sz="4" w:space="0" w:color="000000" w:themeColor="text1"/>
              <w:left w:val="single" w:sz="4" w:space="0" w:color="auto"/>
              <w:bottom w:val="single" w:sz="4" w:space="0" w:color="000000" w:themeColor="text1"/>
              <w:right w:val="single" w:sz="4" w:space="0" w:color="auto"/>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0.04</w:t>
            </w:r>
          </w:p>
        </w:tc>
        <w:tc>
          <w:tcPr>
            <w:tcW w:w="901" w:type="dxa"/>
            <w:tcBorders>
              <w:top w:val="single" w:sz="4" w:space="0" w:color="000000" w:themeColor="text1"/>
              <w:left w:val="single" w:sz="4" w:space="0" w:color="auto"/>
              <w:bottom w:val="single" w:sz="4" w:space="0" w:color="000000" w:themeColor="text1"/>
              <w:right w:val="single" w:sz="4" w:space="0" w:color="000000" w:themeColor="text1"/>
            </w:tcBorders>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1.58</w:t>
            </w: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
        </w:trPr>
        <w:tc>
          <w:tcPr>
            <w:tcW w:w="2965"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Temperature increased</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0.84</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0.69</w:t>
            </w:r>
          </w:p>
        </w:tc>
        <w:tc>
          <w:tcPr>
            <w:tcW w:w="87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12.85***</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0.76</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0.74</w:t>
            </w:r>
          </w:p>
        </w:tc>
        <w:tc>
          <w:tcPr>
            <w:tcW w:w="108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0.35</w:t>
            </w: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0.80</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0.70</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5.61**</w:t>
            </w: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0.83</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0.74</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3.14*</w:t>
            </w: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965"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Precipitation decreased</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0.73</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0.62</w:t>
            </w:r>
          </w:p>
        </w:tc>
        <w:tc>
          <w:tcPr>
            <w:tcW w:w="87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5.69**</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0.65</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0.72</w:t>
            </w:r>
          </w:p>
        </w:tc>
        <w:tc>
          <w:tcPr>
            <w:tcW w:w="108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1.83</w:t>
            </w: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0.64</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0.70</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1.73</w:t>
            </w: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0.69</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0.67</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0.11</w:t>
            </w: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2965"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Drought increased</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0.66</w:t>
            </w:r>
          </w:p>
        </w:tc>
        <w:tc>
          <w:tcPr>
            <w:tcW w:w="87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0.73</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0.66</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0.72</w:t>
            </w:r>
          </w:p>
        </w:tc>
        <w:tc>
          <w:tcPr>
            <w:tcW w:w="108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1.84</w:t>
            </w: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0.69</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0.68</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0.06</w:t>
            </w: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0.72</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0.67</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0.91</w:t>
            </w: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2965"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Flooding  increased</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0.51</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0.48</w:t>
            </w:r>
          </w:p>
        </w:tc>
        <w:tc>
          <w:tcPr>
            <w:tcW w:w="87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0.22</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0.52</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0.45</w:t>
            </w:r>
          </w:p>
        </w:tc>
        <w:tc>
          <w:tcPr>
            <w:tcW w:w="108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1.95</w:t>
            </w: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0.54</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0.45</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3.78*</w:t>
            </w: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0.59</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0.47</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3.62*</w:t>
            </w: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
        </w:trPr>
        <w:tc>
          <w:tcPr>
            <w:tcW w:w="2965"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 xml:space="preserve">Hailstorm increased </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0.53</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0.45</w:t>
            </w:r>
          </w:p>
        </w:tc>
        <w:tc>
          <w:tcPr>
            <w:tcW w:w="87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2.64</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0.49</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0.48</w:t>
            </w:r>
          </w:p>
        </w:tc>
        <w:tc>
          <w:tcPr>
            <w:tcW w:w="108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0.05</w:t>
            </w: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0.60</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0.38</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21.8***</w:t>
            </w: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0.54</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0.48</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1.08</w:t>
            </w: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2965"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Erratic rainfall increased</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0.77</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0.76</w:t>
            </w:r>
          </w:p>
        </w:tc>
        <w:tc>
          <w:tcPr>
            <w:tcW w:w="87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0.12</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0.75</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w:t>
            </w:r>
          </w:p>
        </w:tc>
        <w:tc>
          <w:tcPr>
            <w:tcW w:w="1080" w:type="dxa"/>
            <w:noWrap/>
            <w:hideMark/>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1.38</w:t>
            </w: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0.80</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0.73</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3.35*</w:t>
            </w: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0.77</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0.77</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0.01</w:t>
            </w: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965"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b/>
                <w:color w:val="auto"/>
                <w:sz w:val="16"/>
                <w:szCs w:val="16"/>
              </w:rPr>
            </w:pPr>
            <w:r w:rsidRPr="001A4527">
              <w:rPr>
                <w:rFonts w:ascii="Times New Roman" w:eastAsia="Calibri" w:hAnsi="Times New Roman"/>
                <w:b/>
                <w:color w:val="auto"/>
                <w:sz w:val="16"/>
                <w:szCs w:val="16"/>
              </w:rPr>
              <w:t>Agroecosystem zones</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7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108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2965"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Dejen(AESZ1)</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0.51</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0.49</w:t>
            </w:r>
          </w:p>
        </w:tc>
        <w:tc>
          <w:tcPr>
            <w:tcW w:w="87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0.45</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0.55</w:t>
            </w:r>
          </w:p>
        </w:tc>
        <w:tc>
          <w:tcPr>
            <w:tcW w:w="108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0.78</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0.22</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0.01</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0.99</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2965"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Awobel(AESZ2)</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0.56</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0.44</w:t>
            </w:r>
          </w:p>
        </w:tc>
        <w:tc>
          <w:tcPr>
            <w:tcW w:w="87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0.29</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0.71</w:t>
            </w:r>
          </w:p>
        </w:tc>
        <w:tc>
          <w:tcPr>
            <w:tcW w:w="108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0.27</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0.73</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0.05</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0.95</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
        </w:trPr>
        <w:tc>
          <w:tcPr>
            <w:tcW w:w="2965"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Basoliben (AESZ3)</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0.67</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0.33</w:t>
            </w:r>
          </w:p>
        </w:tc>
        <w:tc>
          <w:tcPr>
            <w:tcW w:w="87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0.89</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0.11</w:t>
            </w:r>
          </w:p>
        </w:tc>
        <w:tc>
          <w:tcPr>
            <w:tcW w:w="108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0.34</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0.66</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0.42</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0.58</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965"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Machakel (AESZ4)</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0.35</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0.65</w:t>
            </w:r>
          </w:p>
        </w:tc>
        <w:tc>
          <w:tcPr>
            <w:tcW w:w="87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0.84</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0.16</w:t>
            </w:r>
          </w:p>
        </w:tc>
        <w:tc>
          <w:tcPr>
            <w:tcW w:w="108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0.65</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0.35</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0.18</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0.82</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r>
      <w:tr w:rsidR="00BF283C" w:rsidRPr="001A4527" w:rsidTr="00EF0F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
        </w:trPr>
        <w:tc>
          <w:tcPr>
            <w:tcW w:w="2965"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Sinan(AESZ5)</w:t>
            </w: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0.27</w:t>
            </w:r>
          </w:p>
        </w:tc>
        <w:tc>
          <w:tcPr>
            <w:tcW w:w="899"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0.73</w:t>
            </w:r>
          </w:p>
        </w:tc>
        <w:tc>
          <w:tcPr>
            <w:tcW w:w="87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1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0.67</w:t>
            </w:r>
          </w:p>
        </w:tc>
        <w:tc>
          <w:tcPr>
            <w:tcW w:w="841"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0.33</w:t>
            </w:r>
          </w:p>
        </w:tc>
        <w:tc>
          <w:tcPr>
            <w:tcW w:w="1080" w:type="dxa"/>
            <w:noWrap/>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622"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0.51</w:t>
            </w:r>
          </w:p>
        </w:tc>
        <w:tc>
          <w:tcPr>
            <w:tcW w:w="825"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0.49</w:t>
            </w:r>
          </w:p>
        </w:tc>
        <w:tc>
          <w:tcPr>
            <w:tcW w:w="1336"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c>
          <w:tcPr>
            <w:tcW w:w="869"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0.23</w:t>
            </w:r>
          </w:p>
        </w:tc>
        <w:tc>
          <w:tcPr>
            <w:tcW w:w="96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0.77</w:t>
            </w:r>
          </w:p>
        </w:tc>
        <w:tc>
          <w:tcPr>
            <w:tcW w:w="901" w:type="dxa"/>
          </w:tcPr>
          <w:p w:rsidR="00BF283C" w:rsidRPr="001A4527" w:rsidRDefault="00BF283C"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p>
        </w:tc>
      </w:tr>
    </w:tbl>
    <w:p w:rsidR="001A4527" w:rsidRPr="001A4527" w:rsidRDefault="001A4527" w:rsidP="00B73204">
      <w:pPr>
        <w:pBdr>
          <w:top w:val="none" w:sz="0" w:space="0" w:color="auto"/>
          <w:left w:val="none" w:sz="0" w:space="0" w:color="auto"/>
          <w:bottom w:val="none" w:sz="0" w:space="0" w:color="auto"/>
          <w:right w:val="none" w:sz="0" w:space="0" w:color="auto"/>
        </w:pBdr>
        <w:spacing w:after="0" w:line="360" w:lineRule="auto"/>
        <w:rPr>
          <w:rFonts w:ascii="Times New Roman" w:eastAsia="Calibri" w:hAnsi="Times New Roman"/>
          <w:color w:val="auto"/>
          <w:sz w:val="16"/>
          <w:szCs w:val="16"/>
        </w:rPr>
      </w:pPr>
      <w:r w:rsidRPr="001A4527">
        <w:rPr>
          <w:rFonts w:ascii="Times New Roman" w:eastAsia="Calibri" w:hAnsi="Times New Roman"/>
          <w:color w:val="auto"/>
          <w:sz w:val="16"/>
          <w:szCs w:val="16"/>
        </w:rPr>
        <w:t>Standard errors in parentheses* p &lt; 0.1, ** p &lt; 0.05, *** p &lt; 0.01</w:t>
      </w:r>
    </w:p>
    <w:p w:rsidR="001A4527" w:rsidRPr="001A4527" w:rsidRDefault="001A4527" w:rsidP="00B73204">
      <w:pPr>
        <w:pBdr>
          <w:top w:val="none" w:sz="0" w:space="0" w:color="auto"/>
          <w:left w:val="none" w:sz="0" w:space="0" w:color="auto"/>
          <w:bottom w:val="none" w:sz="0" w:space="0" w:color="auto"/>
          <w:right w:val="none" w:sz="0" w:space="0" w:color="auto"/>
        </w:pBdr>
        <w:spacing w:line="360" w:lineRule="auto"/>
        <w:jc w:val="both"/>
        <w:rPr>
          <w:rFonts w:ascii="Times New Roman" w:hAnsi="Times New Roman"/>
          <w:sz w:val="24"/>
          <w:szCs w:val="24"/>
        </w:rPr>
      </w:pPr>
    </w:p>
    <w:p w:rsidR="001A4527" w:rsidRPr="001A4527" w:rsidRDefault="001A4527" w:rsidP="00B73204">
      <w:pPr>
        <w:pBdr>
          <w:top w:val="none" w:sz="0" w:space="0" w:color="auto"/>
          <w:left w:val="none" w:sz="0" w:space="0" w:color="auto"/>
          <w:bottom w:val="none" w:sz="0" w:space="0" w:color="auto"/>
          <w:right w:val="none" w:sz="0" w:space="0" w:color="auto"/>
        </w:pBdr>
        <w:spacing w:line="360" w:lineRule="auto"/>
        <w:jc w:val="both"/>
        <w:rPr>
          <w:rFonts w:ascii="Times New Roman" w:hAnsi="Times New Roman"/>
          <w:sz w:val="24"/>
          <w:szCs w:val="24"/>
        </w:rPr>
      </w:pPr>
    </w:p>
    <w:p w:rsidR="001A4527" w:rsidRPr="001A4527" w:rsidRDefault="001A4527" w:rsidP="00B73204">
      <w:pPr>
        <w:pBdr>
          <w:top w:val="none" w:sz="0" w:space="0" w:color="auto"/>
          <w:left w:val="none" w:sz="0" w:space="0" w:color="auto"/>
          <w:bottom w:val="none" w:sz="0" w:space="0" w:color="auto"/>
          <w:right w:val="none" w:sz="0" w:space="0" w:color="auto"/>
        </w:pBdr>
        <w:spacing w:line="360" w:lineRule="auto"/>
        <w:jc w:val="both"/>
        <w:rPr>
          <w:rFonts w:ascii="Times New Roman" w:hAnsi="Times New Roman"/>
          <w:sz w:val="24"/>
          <w:szCs w:val="24"/>
        </w:rPr>
        <w:sectPr w:rsidR="001A4527" w:rsidRPr="001A4527" w:rsidSect="00037576">
          <w:headerReference w:type="default" r:id="rId8"/>
          <w:pgSz w:w="15840" w:h="12240" w:orient="landscape"/>
          <w:pgMar w:top="1440" w:right="1440" w:bottom="1260" w:left="1170" w:header="720" w:footer="747" w:gutter="0"/>
          <w:cols w:space="720"/>
          <w:docGrid w:linePitch="360"/>
        </w:sectPr>
      </w:pPr>
    </w:p>
    <w:p w:rsidR="006739FA" w:rsidRPr="00666267" w:rsidRDefault="006739FA" w:rsidP="00B73204">
      <w:pPr>
        <w:spacing w:line="360" w:lineRule="auto"/>
        <w:rPr>
          <w:rFonts w:ascii="Times New Roman" w:hAnsi="Times New Roman"/>
          <w:b/>
          <w:sz w:val="24"/>
          <w:szCs w:val="24"/>
        </w:rPr>
      </w:pPr>
      <w:r w:rsidRPr="00666267">
        <w:rPr>
          <w:rFonts w:ascii="Times New Roman" w:hAnsi="Times New Roman"/>
          <w:sz w:val="24"/>
          <w:szCs w:val="24"/>
        </w:rPr>
        <w:lastRenderedPageBreak/>
        <w:t xml:space="preserve">Annex </w:t>
      </w:r>
      <w:r w:rsidR="001A4527" w:rsidRPr="00666267">
        <w:rPr>
          <w:rFonts w:ascii="Times New Roman" w:hAnsi="Times New Roman"/>
          <w:b/>
          <w:sz w:val="24"/>
          <w:szCs w:val="24"/>
        </w:rPr>
        <w:t>B</w:t>
      </w:r>
    </w:p>
    <w:p w:rsidR="006739FA" w:rsidRPr="006D178F" w:rsidRDefault="006739FA" w:rsidP="00B73204">
      <w:pPr>
        <w:spacing w:line="360" w:lineRule="auto"/>
        <w:jc w:val="both"/>
        <w:rPr>
          <w:rStyle w:val="fontstyle01"/>
          <w:b w:val="0"/>
          <w:sz w:val="24"/>
          <w:szCs w:val="24"/>
        </w:rPr>
      </w:pPr>
      <w:r w:rsidRPr="006D178F">
        <w:rPr>
          <w:rStyle w:val="fontstyle01"/>
          <w:b w:val="0"/>
          <w:sz w:val="24"/>
          <w:szCs w:val="24"/>
        </w:rPr>
        <w:t>Propensity score Matching</w:t>
      </w:r>
      <w:r w:rsidR="00666267">
        <w:rPr>
          <w:rStyle w:val="fontstyle01"/>
          <w:b w:val="0"/>
          <w:sz w:val="24"/>
          <w:szCs w:val="24"/>
        </w:rPr>
        <w:t xml:space="preserve"> </w:t>
      </w:r>
      <w:r w:rsidRPr="006D178F">
        <w:rPr>
          <w:rStyle w:val="fontstyle01"/>
          <w:b w:val="0"/>
          <w:sz w:val="24"/>
          <w:szCs w:val="24"/>
        </w:rPr>
        <w:t>(PSM)</w:t>
      </w:r>
    </w:p>
    <w:p w:rsidR="006739FA" w:rsidRPr="006D178F" w:rsidRDefault="006739FA" w:rsidP="00B73204">
      <w:pPr>
        <w:spacing w:line="360" w:lineRule="auto"/>
        <w:jc w:val="both"/>
        <w:rPr>
          <w:rFonts w:ascii="Times New Roman" w:hAnsi="Times New Roman"/>
          <w:sz w:val="24"/>
          <w:szCs w:val="24"/>
        </w:rPr>
      </w:pPr>
      <w:r w:rsidRPr="006D178F">
        <w:rPr>
          <w:rStyle w:val="fontstyle01"/>
          <w:b w:val="0"/>
          <w:sz w:val="24"/>
          <w:szCs w:val="24"/>
        </w:rPr>
        <w:t xml:space="preserve">The propensity score matching approach is one possible solution to the selection problem. Its basic idea is to find in a large group of non-adopters of CSA technology who are similar to the adopters of CSA technology in all relevant pre-adoption characteristics X. To find this X, </w:t>
      </w:r>
      <w:r w:rsidRPr="006D178F">
        <w:rPr>
          <w:rFonts w:ascii="Times New Roman" w:hAnsi="Times New Roman"/>
          <w:sz w:val="24"/>
          <w:szCs w:val="24"/>
        </w:rPr>
        <w:fldChar w:fldCharType="begin" w:fldLock="1"/>
      </w:r>
      <w:r w:rsidR="00AF10EC">
        <w:rPr>
          <w:rFonts w:ascii="Times New Roman" w:hAnsi="Times New Roman"/>
          <w:sz w:val="24"/>
          <w:szCs w:val="24"/>
        </w:rPr>
        <w:instrText>ADDIN CSL_CITATION {"citationItems":[{"id":"ITEM-1","itemData":{"DOI":"10.1017/CBO9780511810725.016","ISBN":"9780511810725","abstract":"The propensity score is the conditional probability of assignment to a particular treatment given a vector of observed covariates. Both large and small sample theory show that adjustment for the scalar propensity score is sufficient to remove bias due to all observed covariates. Applications include: (i) matched sampling on the univariate propensity score, which is a generalization of discriminant matching, (ii) multivariate adjustment by subclassification on the propensity score where the same subclasses are used to estimate treatment effects for all outcome variables and in all subpopulations, and (iii) visual representation of multivariate covariance adjustment by a two-dimensional plot.","author":[{"dropping-particle":"","family":"Rosenbaum","given":"Paul R.","non-dropping-particle":"","parse-names":false,"suffix":""},{"dropping-particle":"","family":"Rubin","given":"Donald B.","non-dropping-particle":"","parse-names":false,"suffix":""}],"container-title":"Matched Sampling for Causal Effects","id":"ITEM-1","issue":"1083","issued":{"date-parts":[["2006"]]},"page":"170-184","title":"The central role of the propensity score in observational studies for causal effects","type":"article-journal"},"uris":["http://www.mendeley.com/documents/?uuid=97c3b3cd-96e1-4393-b92e-83d3ff173029"]}],"mendeley":{"formattedCitation":"(Rosenbaum &amp; Rubin, 2006)","plainTextFormattedCitation":"(Rosenbaum &amp; Rubin, 2006)","previouslyFormattedCitation":"(Rosenbaum, 2006)"},"properties":{"noteIndex":0},"schema":"https://github.com/citation-style-language/schema/raw/master/csl-citation.json"}</w:instrText>
      </w:r>
      <w:r w:rsidRPr="006D178F">
        <w:rPr>
          <w:rFonts w:ascii="Times New Roman" w:hAnsi="Times New Roman"/>
          <w:sz w:val="24"/>
          <w:szCs w:val="24"/>
        </w:rPr>
        <w:fldChar w:fldCharType="separate"/>
      </w:r>
      <w:r w:rsidR="00AF10EC" w:rsidRPr="00AF10EC">
        <w:rPr>
          <w:rFonts w:ascii="Times New Roman" w:hAnsi="Times New Roman"/>
          <w:noProof/>
          <w:sz w:val="24"/>
          <w:szCs w:val="24"/>
        </w:rPr>
        <w:t>(Rosenbaum &amp; Rubin, 2006)</w:t>
      </w:r>
      <w:r w:rsidRPr="006D178F">
        <w:rPr>
          <w:rFonts w:ascii="Times New Roman" w:hAnsi="Times New Roman"/>
          <w:sz w:val="24"/>
          <w:szCs w:val="24"/>
        </w:rPr>
        <w:fldChar w:fldCharType="end"/>
      </w:r>
      <w:r w:rsidRPr="006D178F">
        <w:rPr>
          <w:rFonts w:ascii="Times New Roman" w:hAnsi="Times New Roman"/>
          <w:sz w:val="24"/>
          <w:szCs w:val="24"/>
        </w:rPr>
        <w:t xml:space="preserve"> suggest the use of so-called balancing scores </w:t>
      </w:r>
      <w:r w:rsidRPr="006D178F">
        <w:rPr>
          <w:rFonts w:ascii="Times New Roman" w:hAnsi="Times New Roman"/>
          <w:i/>
          <w:iCs/>
          <w:sz w:val="24"/>
          <w:szCs w:val="24"/>
        </w:rPr>
        <w:t>b</w:t>
      </w:r>
      <w:r w:rsidRPr="006D178F">
        <w:rPr>
          <w:rFonts w:ascii="Times New Roman" w:hAnsi="Times New Roman"/>
          <w:sz w:val="24"/>
          <w:szCs w:val="24"/>
        </w:rPr>
        <w:t>(</w:t>
      </w:r>
      <w:r w:rsidRPr="006D178F">
        <w:rPr>
          <w:rFonts w:ascii="Times New Roman" w:hAnsi="Times New Roman"/>
          <w:i/>
          <w:iCs/>
          <w:sz w:val="24"/>
          <w:szCs w:val="24"/>
        </w:rPr>
        <w:t>X</w:t>
      </w:r>
      <w:r w:rsidRPr="006D178F">
        <w:rPr>
          <w:rFonts w:ascii="Times New Roman" w:hAnsi="Times New Roman"/>
          <w:sz w:val="24"/>
          <w:szCs w:val="24"/>
        </w:rPr>
        <w:t xml:space="preserve">), i.e. functions of the relevant observed covariates </w:t>
      </w:r>
      <w:r w:rsidRPr="006D178F">
        <w:rPr>
          <w:rFonts w:ascii="Times New Roman" w:hAnsi="Times New Roman"/>
          <w:i/>
          <w:iCs/>
          <w:sz w:val="24"/>
          <w:szCs w:val="24"/>
        </w:rPr>
        <w:t xml:space="preserve">X </w:t>
      </w:r>
      <w:r w:rsidRPr="006D178F">
        <w:rPr>
          <w:rFonts w:ascii="Times New Roman" w:hAnsi="Times New Roman"/>
          <w:sz w:val="24"/>
          <w:szCs w:val="24"/>
        </w:rPr>
        <w:t xml:space="preserve">such that the conditional distribution of </w:t>
      </w:r>
      <w:r w:rsidRPr="006D178F">
        <w:rPr>
          <w:rFonts w:ascii="Times New Roman" w:hAnsi="Times New Roman"/>
          <w:i/>
          <w:iCs/>
          <w:sz w:val="24"/>
          <w:szCs w:val="24"/>
        </w:rPr>
        <w:t xml:space="preserve">X </w:t>
      </w:r>
      <w:r w:rsidRPr="006D178F">
        <w:rPr>
          <w:rFonts w:ascii="Times New Roman" w:hAnsi="Times New Roman"/>
          <w:sz w:val="24"/>
          <w:szCs w:val="24"/>
        </w:rPr>
        <w:t xml:space="preserve">given </w:t>
      </w:r>
      <w:r w:rsidRPr="006D178F">
        <w:rPr>
          <w:rFonts w:ascii="Times New Roman" w:hAnsi="Times New Roman"/>
          <w:i/>
          <w:iCs/>
          <w:sz w:val="24"/>
          <w:szCs w:val="24"/>
        </w:rPr>
        <w:t>b</w:t>
      </w:r>
      <w:r w:rsidRPr="006D178F">
        <w:rPr>
          <w:rFonts w:ascii="Times New Roman" w:hAnsi="Times New Roman"/>
          <w:sz w:val="24"/>
          <w:szCs w:val="24"/>
        </w:rPr>
        <w:t>(</w:t>
      </w:r>
      <w:r w:rsidRPr="006D178F">
        <w:rPr>
          <w:rFonts w:ascii="Times New Roman" w:hAnsi="Times New Roman"/>
          <w:i/>
          <w:iCs/>
          <w:sz w:val="24"/>
          <w:szCs w:val="24"/>
        </w:rPr>
        <w:t>X</w:t>
      </w:r>
      <w:r w:rsidRPr="006D178F">
        <w:rPr>
          <w:rFonts w:ascii="Times New Roman" w:hAnsi="Times New Roman"/>
          <w:sz w:val="24"/>
          <w:szCs w:val="24"/>
        </w:rPr>
        <w:t xml:space="preserve">) is independent of adoption of CSA technology. One possible balancing score is the propensity score, i.e. the probability of receiving the treatment given observed characteristics </w:t>
      </w:r>
      <w:r w:rsidRPr="006D178F">
        <w:rPr>
          <w:rFonts w:ascii="Times New Roman" w:hAnsi="Times New Roman"/>
          <w:i/>
          <w:iCs/>
          <w:sz w:val="24"/>
          <w:szCs w:val="24"/>
        </w:rPr>
        <w:t>X</w:t>
      </w:r>
      <w:r w:rsidRPr="006D178F">
        <w:rPr>
          <w:rFonts w:ascii="Times New Roman" w:hAnsi="Times New Roman"/>
          <w:sz w:val="24"/>
          <w:szCs w:val="24"/>
        </w:rPr>
        <w:t xml:space="preserve">. Matching procedures based on this balancing score are known as propensity score matching (PSM). </w:t>
      </w:r>
    </w:p>
    <w:p w:rsidR="006739FA" w:rsidRPr="006D178F" w:rsidRDefault="006739FA" w:rsidP="00B73204">
      <w:pPr>
        <w:spacing w:line="360" w:lineRule="auto"/>
        <w:jc w:val="both"/>
        <w:rPr>
          <w:rFonts w:ascii="Times New Roman" w:hAnsi="Times New Roman"/>
          <w:sz w:val="24"/>
          <w:szCs w:val="24"/>
        </w:rPr>
      </w:pPr>
      <w:r w:rsidRPr="006D178F">
        <w:rPr>
          <w:rFonts w:ascii="Times New Roman" w:hAnsi="Times New Roman"/>
          <w:sz w:val="24"/>
          <w:szCs w:val="24"/>
        </w:rPr>
        <w:t>The standard framework in evaluation analysis to formalize this problem is the potential outcome approach or Roy-Rubin-model</w:t>
      </w:r>
      <w:r w:rsidR="00C5412F">
        <w:rPr>
          <w:rFonts w:ascii="Times New Roman" w:hAnsi="Times New Roman"/>
          <w:sz w:val="24"/>
          <w:szCs w:val="24"/>
        </w:rPr>
        <w:t xml:space="preserve"> </w:t>
      </w:r>
      <w:r w:rsidRPr="006D178F">
        <w:rPr>
          <w:rFonts w:ascii="Times New Roman" w:hAnsi="Times New Roman"/>
          <w:sz w:val="24"/>
          <w:szCs w:val="24"/>
        </w:rPr>
        <w:fldChar w:fldCharType="begin" w:fldLock="1"/>
      </w:r>
      <w:r w:rsidRPr="006D178F">
        <w:rPr>
          <w:rFonts w:ascii="Times New Roman" w:hAnsi="Times New Roman"/>
          <w:sz w:val="24"/>
          <w:szCs w:val="24"/>
        </w:rPr>
        <w:instrText>ADDIN CSL_CITATION {"citationItems":[{"id":"ITEM-1","itemData":{"DOI":"10.1037/h0037350","ISSN":"00220663","abstract":"Presents a discussion of matching, randomization, random sampling, and other methods of controlling extraneous variation. The objective was to specify the benefits of randomization in estimating causal effects of treatments. It is concluded that randomization should be employed whenever possible but that the use of carefully controlled nonrandomized data to estimate causal effects is a reasonable and necessary procedure in many cases. (15 ref) (PsycINFO Database Record (c) 2006 APA, all rights reserved). © 1974 American Psychological Association.","author":[{"dropping-particle":"","family":"Rubin","given":"Donald B","non-dropping-particle":"","parse-names":false,"suffix":""}],"container-title":"Journal of Educational Psychology","id":"ITEM-1","issue":"5","issued":{"date-parts":[["1974"]]},"page":"688-701","title":"Estimating causal effects of treatments in randomized and nonrandomized studies","type":"article-journal","volume":"66"},"uris":["http://www.mendeley.com/documents/?uuid=96cb989b-70c1-4c0e-83c9-c210a47ded77"]}],"mendeley":{"formattedCitation":"(Rubin, 1974)","plainTextFormattedCitation":"(Rubin, 1974)","previouslyFormattedCitation":"(Rubin, 1974)"},"properties":{"noteIndex":0},"schema":"https://github.com/citation-style-language/schema/raw/master/csl-citation.json"}</w:instrText>
      </w:r>
      <w:r w:rsidRPr="006D178F">
        <w:rPr>
          <w:rFonts w:ascii="Times New Roman" w:hAnsi="Times New Roman"/>
          <w:sz w:val="24"/>
          <w:szCs w:val="24"/>
        </w:rPr>
        <w:fldChar w:fldCharType="separate"/>
      </w:r>
      <w:r w:rsidRPr="006D178F">
        <w:rPr>
          <w:rFonts w:ascii="Times New Roman" w:hAnsi="Times New Roman"/>
          <w:noProof/>
          <w:sz w:val="24"/>
          <w:szCs w:val="24"/>
        </w:rPr>
        <w:t>(Rubin, 1974)</w:t>
      </w:r>
      <w:r w:rsidRPr="006D178F">
        <w:rPr>
          <w:rFonts w:ascii="Times New Roman" w:hAnsi="Times New Roman"/>
          <w:sz w:val="24"/>
          <w:szCs w:val="24"/>
        </w:rPr>
        <w:fldChar w:fldCharType="end"/>
      </w:r>
      <w:r w:rsidRPr="006D178F">
        <w:rPr>
          <w:rFonts w:ascii="Times New Roman" w:hAnsi="Times New Roman"/>
          <w:sz w:val="24"/>
          <w:szCs w:val="24"/>
        </w:rPr>
        <w:t xml:space="preserve">. The main pillars of this model are farm households, CSA technology and potential food security status. The potential food security (FCS) is defined as </w:t>
      </w:r>
      <w:r w:rsidRPr="006D178F">
        <w:rPr>
          <w:rFonts w:ascii="Times New Roman" w:hAnsi="Times New Roman"/>
          <w:iCs/>
          <w:sz w:val="24"/>
          <w:szCs w:val="24"/>
        </w:rPr>
        <w:t>U</w:t>
      </w:r>
      <w:r w:rsidRPr="006D178F">
        <w:rPr>
          <w:rFonts w:ascii="Times New Roman" w:hAnsi="Times New Roman"/>
          <w:iCs/>
          <w:sz w:val="24"/>
          <w:szCs w:val="24"/>
          <w:vertAlign w:val="subscript"/>
        </w:rPr>
        <w:t>i</w:t>
      </w:r>
      <w:r w:rsidRPr="006D178F">
        <w:rPr>
          <w:rFonts w:ascii="Times New Roman" w:hAnsi="Times New Roman"/>
          <w:iCs/>
          <w:sz w:val="24"/>
          <w:szCs w:val="24"/>
        </w:rPr>
        <w:t xml:space="preserve">(J=j) </w:t>
      </w:r>
      <w:r w:rsidRPr="006D178F">
        <w:rPr>
          <w:rFonts w:ascii="Times New Roman" w:hAnsi="Times New Roman"/>
          <w:sz w:val="24"/>
          <w:szCs w:val="24"/>
        </w:rPr>
        <w:t xml:space="preserve">for each individual </w:t>
      </w:r>
      <w:r w:rsidRPr="006D178F">
        <w:rPr>
          <w:rFonts w:ascii="Times New Roman" w:hAnsi="Times New Roman"/>
          <w:i/>
          <w:iCs/>
          <w:sz w:val="24"/>
          <w:szCs w:val="24"/>
        </w:rPr>
        <w:t>i</w:t>
      </w:r>
      <w:r w:rsidRPr="006D178F">
        <w:rPr>
          <w:rFonts w:ascii="Times New Roman" w:hAnsi="Times New Roman"/>
          <w:sz w:val="24"/>
          <w:szCs w:val="24"/>
        </w:rPr>
        <w:t xml:space="preserve">, where </w:t>
      </w:r>
      <w:r w:rsidRPr="006D178F">
        <w:rPr>
          <w:rFonts w:ascii="Times New Roman" w:hAnsi="Times New Roman"/>
          <w:i/>
          <w:iCs/>
          <w:sz w:val="24"/>
          <w:szCs w:val="24"/>
        </w:rPr>
        <w:t xml:space="preserve">i </w:t>
      </w:r>
      <w:r w:rsidRPr="006D178F">
        <w:rPr>
          <w:rFonts w:ascii="Times New Roman" w:hAnsi="Times New Roman"/>
          <w:sz w:val="24"/>
          <w:szCs w:val="24"/>
        </w:rPr>
        <w:t>= 1</w:t>
      </w:r>
      <w:r w:rsidRPr="006D178F">
        <w:rPr>
          <w:rFonts w:ascii="Times New Roman" w:hAnsi="Times New Roman"/>
          <w:i/>
          <w:iCs/>
          <w:sz w:val="24"/>
          <w:szCs w:val="24"/>
        </w:rPr>
        <w:t xml:space="preserve">, … ,N </w:t>
      </w:r>
      <w:r w:rsidRPr="006D178F">
        <w:rPr>
          <w:rFonts w:ascii="Times New Roman" w:hAnsi="Times New Roman"/>
          <w:sz w:val="24"/>
          <w:szCs w:val="24"/>
        </w:rPr>
        <w:t xml:space="preserve">and </w:t>
      </w:r>
      <w:r w:rsidRPr="006D178F">
        <w:rPr>
          <w:rFonts w:ascii="Times New Roman" w:hAnsi="Times New Roman"/>
          <w:i/>
          <w:iCs/>
          <w:sz w:val="24"/>
          <w:szCs w:val="24"/>
        </w:rPr>
        <w:t xml:space="preserve">N </w:t>
      </w:r>
      <w:r w:rsidRPr="006D178F">
        <w:rPr>
          <w:rFonts w:ascii="Times New Roman" w:hAnsi="Times New Roman"/>
          <w:sz w:val="24"/>
          <w:szCs w:val="24"/>
        </w:rPr>
        <w:t>denotes the total population and</w:t>
      </w:r>
      <w:r w:rsidRPr="006D178F">
        <w:rPr>
          <w:rStyle w:val="fontstyle01"/>
          <w:b w:val="0"/>
          <w:sz w:val="24"/>
          <w:szCs w:val="24"/>
        </w:rPr>
        <w:t xml:space="preserve">  j=1; adopter  and j=0 ; non adopter</w:t>
      </w:r>
      <w:r w:rsidRPr="006D178F">
        <w:rPr>
          <w:rFonts w:ascii="Times New Roman" w:hAnsi="Times New Roman"/>
          <w:sz w:val="24"/>
          <w:szCs w:val="24"/>
        </w:rPr>
        <w:t xml:space="preserve">. </w:t>
      </w:r>
    </w:p>
    <w:p w:rsidR="006739FA" w:rsidRPr="006D178F" w:rsidRDefault="006739FA" w:rsidP="00B73204">
      <w:pPr>
        <w:spacing w:line="360" w:lineRule="auto"/>
        <w:jc w:val="both"/>
        <w:rPr>
          <w:rFonts w:ascii="Times New Roman" w:hAnsi="Times New Roman"/>
          <w:sz w:val="24"/>
          <w:szCs w:val="24"/>
        </w:rPr>
      </w:pPr>
      <w:r w:rsidRPr="006D178F">
        <w:rPr>
          <w:rFonts w:ascii="Times New Roman" w:hAnsi="Times New Roman"/>
          <w:sz w:val="24"/>
          <w:szCs w:val="24"/>
        </w:rPr>
        <w:t xml:space="preserve">The treatment effect for an individual </w:t>
      </w:r>
      <w:r w:rsidRPr="006D178F">
        <w:rPr>
          <w:rFonts w:ascii="Times New Roman" w:hAnsi="Times New Roman"/>
          <w:i/>
          <w:iCs/>
          <w:sz w:val="24"/>
          <w:szCs w:val="24"/>
        </w:rPr>
        <w:t xml:space="preserve">i </w:t>
      </w:r>
      <w:r w:rsidRPr="006D178F">
        <w:rPr>
          <w:rFonts w:ascii="Times New Roman" w:hAnsi="Times New Roman"/>
          <w:sz w:val="24"/>
          <w:szCs w:val="24"/>
        </w:rPr>
        <w:t>can be written as:</w:t>
      </w:r>
    </w:p>
    <w:p w:rsidR="006739FA" w:rsidRPr="006D178F" w:rsidRDefault="006739FA" w:rsidP="00B73204">
      <w:pPr>
        <w:spacing w:line="360" w:lineRule="auto"/>
        <w:jc w:val="both"/>
        <w:rPr>
          <w:rFonts w:ascii="Times New Roman" w:hAnsi="Times New Roman"/>
          <w:sz w:val="24"/>
          <w:szCs w:val="24"/>
        </w:rPr>
      </w:pPr>
      <w:r w:rsidRPr="006D178F">
        <w:rPr>
          <w:rStyle w:val="fontstyle01"/>
          <w:rFonts w:ascii="Cambria Math" w:hAnsi="Cambria Math" w:cs="Cambria Math"/>
          <w:b w:val="0"/>
          <w:sz w:val="24"/>
          <w:szCs w:val="24"/>
        </w:rPr>
        <w:t>𝜏</w:t>
      </w:r>
      <w:r w:rsidRPr="006D178F">
        <w:rPr>
          <w:rFonts w:ascii="Times New Roman" w:hAnsi="Times New Roman"/>
          <w:i/>
          <w:iCs/>
          <w:sz w:val="24"/>
          <w:szCs w:val="24"/>
          <w:vertAlign w:val="subscript"/>
        </w:rPr>
        <w:t>i</w:t>
      </w:r>
      <w:r w:rsidRPr="006D178F">
        <w:rPr>
          <w:rFonts w:ascii="Times New Roman" w:hAnsi="Times New Roman"/>
          <w:i/>
          <w:iCs/>
          <w:sz w:val="24"/>
          <w:szCs w:val="24"/>
        </w:rPr>
        <w:t xml:space="preserve"> </w:t>
      </w:r>
      <w:r w:rsidRPr="006D178F">
        <w:rPr>
          <w:rFonts w:ascii="Times New Roman" w:hAnsi="Times New Roman"/>
          <w:sz w:val="24"/>
          <w:szCs w:val="24"/>
        </w:rPr>
        <w:t xml:space="preserve">= </w:t>
      </w:r>
      <w:r w:rsidRPr="006D178F">
        <w:rPr>
          <w:rFonts w:ascii="Times New Roman" w:hAnsi="Times New Roman"/>
          <w:i/>
          <w:iCs/>
          <w:sz w:val="24"/>
          <w:szCs w:val="24"/>
        </w:rPr>
        <w:t>U</w:t>
      </w:r>
      <w:r w:rsidRPr="006D178F">
        <w:rPr>
          <w:rFonts w:ascii="Times New Roman" w:hAnsi="Times New Roman"/>
          <w:i/>
          <w:iCs/>
          <w:sz w:val="24"/>
          <w:szCs w:val="24"/>
          <w:vertAlign w:val="subscript"/>
        </w:rPr>
        <w:t>i</w:t>
      </w:r>
      <w:r w:rsidRPr="006D178F">
        <w:rPr>
          <w:rFonts w:ascii="Times New Roman" w:hAnsi="Times New Roman"/>
          <w:sz w:val="24"/>
          <w:szCs w:val="24"/>
        </w:rPr>
        <w:t>(1)-</w:t>
      </w:r>
      <w:r w:rsidRPr="006D178F">
        <w:rPr>
          <w:rFonts w:ascii="Times New Roman" w:hAnsi="Times New Roman"/>
          <w:i/>
          <w:iCs/>
          <w:sz w:val="24"/>
          <w:szCs w:val="24"/>
        </w:rPr>
        <w:t>U</w:t>
      </w:r>
      <w:r w:rsidRPr="006D178F">
        <w:rPr>
          <w:rFonts w:ascii="Times New Roman" w:hAnsi="Times New Roman"/>
          <w:i/>
          <w:iCs/>
          <w:sz w:val="24"/>
          <w:szCs w:val="24"/>
          <w:vertAlign w:val="subscript"/>
        </w:rPr>
        <w:t>i</w:t>
      </w:r>
      <w:r w:rsidRPr="006D178F">
        <w:rPr>
          <w:rFonts w:ascii="Times New Roman" w:hAnsi="Times New Roman"/>
          <w:sz w:val="24"/>
          <w:szCs w:val="24"/>
        </w:rPr>
        <w:t xml:space="preserve">(0) </w:t>
      </w:r>
      <w:r w:rsidRPr="006D178F">
        <w:rPr>
          <w:rFonts w:ascii="Times New Roman" w:hAnsi="Times New Roman"/>
          <w:i/>
          <w:iCs/>
          <w:sz w:val="24"/>
          <w:szCs w:val="24"/>
        </w:rPr>
        <w:t xml:space="preserve">                                                                                       </w:t>
      </w:r>
      <w:r w:rsidRPr="006D178F">
        <w:rPr>
          <w:rFonts w:ascii="Times New Roman" w:hAnsi="Times New Roman"/>
          <w:sz w:val="24"/>
          <w:szCs w:val="24"/>
        </w:rPr>
        <w:t>(2)</w:t>
      </w:r>
    </w:p>
    <w:p w:rsidR="006739FA" w:rsidRPr="006D178F" w:rsidRDefault="006739FA" w:rsidP="00B73204">
      <w:pPr>
        <w:spacing w:line="360" w:lineRule="auto"/>
        <w:jc w:val="both"/>
        <w:rPr>
          <w:rStyle w:val="fontstyle01"/>
          <w:b w:val="0"/>
          <w:bCs/>
          <w:sz w:val="24"/>
          <w:szCs w:val="24"/>
        </w:rPr>
      </w:pPr>
      <w:r w:rsidRPr="006D178F">
        <w:rPr>
          <w:rFonts w:ascii="Times New Roman" w:hAnsi="Times New Roman"/>
          <w:sz w:val="24"/>
          <w:szCs w:val="24"/>
        </w:rPr>
        <w:t xml:space="preserve">The fundamental evaluation problem arises because only one of the potential food security status is observed for each individual </w:t>
      </w:r>
      <w:r w:rsidRPr="006D178F">
        <w:rPr>
          <w:rFonts w:ascii="Times New Roman" w:hAnsi="Times New Roman"/>
          <w:i/>
          <w:iCs/>
          <w:sz w:val="24"/>
          <w:szCs w:val="24"/>
        </w:rPr>
        <w:t>i</w:t>
      </w:r>
      <w:r w:rsidRPr="006D178F">
        <w:rPr>
          <w:rFonts w:ascii="Times New Roman" w:hAnsi="Times New Roman"/>
          <w:sz w:val="24"/>
          <w:szCs w:val="24"/>
        </w:rPr>
        <w:t>. The unobserved outcome is called counterfactual food security status, U</w:t>
      </w:r>
      <w:r w:rsidRPr="006D178F">
        <w:rPr>
          <w:rFonts w:ascii="Times New Roman" w:hAnsi="Times New Roman"/>
          <w:sz w:val="24"/>
          <w:szCs w:val="24"/>
          <w:vertAlign w:val="subscript"/>
        </w:rPr>
        <w:t>i</w:t>
      </w:r>
      <w:r w:rsidRPr="006D178F">
        <w:rPr>
          <w:rFonts w:ascii="Times New Roman" w:hAnsi="Times New Roman"/>
          <w:sz w:val="24"/>
          <w:szCs w:val="24"/>
        </w:rPr>
        <w:t xml:space="preserve">(0). Hence, estimating the individual CSA technology effect </w:t>
      </w:r>
      <w:r w:rsidRPr="006D178F">
        <w:rPr>
          <w:rFonts w:ascii="Cambria Math" w:hAnsi="Cambria Math" w:cs="Cambria Math"/>
          <w:sz w:val="24"/>
          <w:szCs w:val="24"/>
        </w:rPr>
        <w:t>𝜏</w:t>
      </w:r>
      <w:r w:rsidRPr="006D178F">
        <w:rPr>
          <w:rFonts w:ascii="Times New Roman" w:hAnsi="Times New Roman"/>
          <w:i/>
          <w:iCs/>
          <w:sz w:val="24"/>
          <w:szCs w:val="24"/>
          <w:vertAlign w:val="subscript"/>
        </w:rPr>
        <w:t>i</w:t>
      </w:r>
      <w:r w:rsidRPr="006D178F">
        <w:rPr>
          <w:rFonts w:ascii="Times New Roman" w:hAnsi="Times New Roman"/>
          <w:i/>
          <w:iCs/>
          <w:sz w:val="24"/>
          <w:szCs w:val="24"/>
        </w:rPr>
        <w:t xml:space="preserve"> </w:t>
      </w:r>
      <w:r w:rsidRPr="006D178F">
        <w:rPr>
          <w:rFonts w:ascii="Times New Roman" w:hAnsi="Times New Roman"/>
          <w:sz w:val="24"/>
          <w:szCs w:val="24"/>
        </w:rPr>
        <w:t xml:space="preserve">is not possible and one has to concentrate on (population) average CSA technology effects. Estimation of average CSA technology effects requires that the CSA technology effect for each individual </w:t>
      </w:r>
      <w:r w:rsidRPr="006D178F">
        <w:rPr>
          <w:rFonts w:ascii="Times New Roman" w:hAnsi="Times New Roman"/>
          <w:i/>
          <w:iCs/>
          <w:sz w:val="24"/>
          <w:szCs w:val="24"/>
        </w:rPr>
        <w:t xml:space="preserve">i </w:t>
      </w:r>
      <w:r w:rsidRPr="006D178F">
        <w:rPr>
          <w:rFonts w:ascii="Times New Roman" w:hAnsi="Times New Roman"/>
          <w:sz w:val="24"/>
          <w:szCs w:val="24"/>
        </w:rPr>
        <w:t xml:space="preserve">is independent of CSA technology adoption of other individuals (‘stable unit-treatment value assumption’). In this case, the evaluation parameter is the ‘average treatment effect on the treated’ (ATT).  </w:t>
      </w:r>
      <w:r w:rsidRPr="006D178F">
        <w:rPr>
          <w:rStyle w:val="fontstyle01"/>
          <w:b w:val="0"/>
          <w:sz w:val="24"/>
          <w:szCs w:val="24"/>
        </w:rPr>
        <w:t xml:space="preserve">Thus, in our case, Average treatment on the treated (ATT) focuses on the impact of adopting CSA technologies for whom the intervention is introduced, is the most common evaluation parameter. </w:t>
      </w:r>
    </w:p>
    <w:p w:rsidR="006739FA" w:rsidRPr="006D178F" w:rsidRDefault="006739FA" w:rsidP="00B73204">
      <w:pPr>
        <w:spacing w:line="360" w:lineRule="auto"/>
        <w:rPr>
          <w:rFonts w:ascii="Times New Roman" w:hAnsi="Times New Roman"/>
          <w:sz w:val="24"/>
          <w:szCs w:val="24"/>
        </w:rPr>
      </w:pPr>
      <w:r w:rsidRPr="006D178F">
        <w:rPr>
          <w:rFonts w:ascii="Times New Roman" w:hAnsi="Times New Roman"/>
          <w:sz w:val="24"/>
          <w:szCs w:val="24"/>
        </w:rPr>
        <w:t>Hence, ATT is defined as:</w:t>
      </w:r>
    </w:p>
    <w:p w:rsidR="006739FA" w:rsidRPr="006D178F" w:rsidRDefault="006739FA" w:rsidP="00B73204">
      <w:pPr>
        <w:spacing w:line="360" w:lineRule="auto"/>
        <w:contextualSpacing/>
        <w:jc w:val="both"/>
        <w:rPr>
          <w:rStyle w:val="fontstyle01"/>
          <w:b w:val="0"/>
          <w:sz w:val="24"/>
          <w:szCs w:val="24"/>
        </w:rPr>
      </w:pPr>
      <w:r w:rsidRPr="006D178F">
        <w:rPr>
          <w:rStyle w:val="fontstyle01"/>
          <w:rFonts w:ascii="Cambria Math" w:hAnsi="Cambria Math" w:cs="Cambria Math"/>
          <w:b w:val="0"/>
          <w:sz w:val="24"/>
          <w:szCs w:val="24"/>
        </w:rPr>
        <w:lastRenderedPageBreak/>
        <w:t>𝜏</w:t>
      </w:r>
      <w:r w:rsidRPr="006D178F">
        <w:rPr>
          <w:rFonts w:ascii="Times New Roman" w:hAnsi="Times New Roman"/>
          <w:iCs/>
          <w:sz w:val="24"/>
          <w:szCs w:val="24"/>
          <w:vertAlign w:val="subscript"/>
        </w:rPr>
        <w:t>ATT</w:t>
      </w:r>
      <w:r w:rsidRPr="006D178F">
        <w:rPr>
          <w:rFonts w:ascii="Times New Roman" w:hAnsi="Times New Roman"/>
          <w:iCs/>
          <w:sz w:val="24"/>
          <w:szCs w:val="24"/>
        </w:rPr>
        <w:t xml:space="preserve"> </w:t>
      </w:r>
      <w:r w:rsidRPr="006D178F">
        <w:rPr>
          <w:rFonts w:ascii="Times New Roman" w:hAnsi="Times New Roman"/>
          <w:sz w:val="24"/>
          <w:szCs w:val="24"/>
        </w:rPr>
        <w:t xml:space="preserve">= </w:t>
      </w:r>
      <w:r w:rsidRPr="006D178F">
        <w:rPr>
          <w:rFonts w:ascii="Times New Roman" w:hAnsi="Times New Roman"/>
          <w:iCs/>
          <w:sz w:val="24"/>
          <w:szCs w:val="24"/>
        </w:rPr>
        <w:t>E</w:t>
      </w:r>
      <w:r w:rsidRPr="006D178F">
        <w:rPr>
          <w:rFonts w:ascii="Times New Roman" w:hAnsi="Times New Roman"/>
          <w:sz w:val="24"/>
          <w:szCs w:val="24"/>
        </w:rPr>
        <w:t>(</w:t>
      </w:r>
      <w:r w:rsidRPr="006D178F">
        <w:rPr>
          <w:rStyle w:val="fontstyle01"/>
          <w:rFonts w:ascii="Cambria Math" w:hAnsi="Cambria Math" w:cs="Cambria Math"/>
          <w:b w:val="0"/>
          <w:sz w:val="24"/>
          <w:szCs w:val="24"/>
        </w:rPr>
        <w:t>𝜏</w:t>
      </w:r>
      <w:r w:rsidRPr="006D178F">
        <w:rPr>
          <w:rFonts w:ascii="Times New Roman" w:hAnsi="Times New Roman"/>
          <w:iCs/>
          <w:sz w:val="24"/>
          <w:szCs w:val="24"/>
        </w:rPr>
        <w:t xml:space="preserve"> | J=</w:t>
      </w:r>
      <w:r w:rsidRPr="006D178F">
        <w:rPr>
          <w:rFonts w:ascii="Times New Roman" w:hAnsi="Times New Roman"/>
          <w:sz w:val="24"/>
          <w:szCs w:val="24"/>
        </w:rPr>
        <w:t xml:space="preserve">1) = </w:t>
      </w:r>
      <w:r w:rsidRPr="006D178F">
        <w:rPr>
          <w:rFonts w:ascii="Times New Roman" w:hAnsi="Times New Roman"/>
          <w:iCs/>
          <w:sz w:val="24"/>
          <w:szCs w:val="24"/>
        </w:rPr>
        <w:t>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(1)</w:t>
      </w:r>
      <w:r w:rsidRPr="006D178F">
        <w:rPr>
          <w:rFonts w:ascii="Times New Roman" w:hAnsi="Times New Roman"/>
          <w:iCs/>
          <w:sz w:val="24"/>
          <w:szCs w:val="24"/>
        </w:rPr>
        <w:t>| J=</w:t>
      </w:r>
      <w:r w:rsidRPr="006D178F">
        <w:rPr>
          <w:rFonts w:ascii="Times New Roman" w:hAnsi="Times New Roman"/>
          <w:sz w:val="24"/>
          <w:szCs w:val="24"/>
        </w:rPr>
        <w:t>1] -</w:t>
      </w:r>
      <w:r w:rsidRPr="006D178F">
        <w:rPr>
          <w:rFonts w:ascii="Times New Roman" w:hAnsi="Times New Roman"/>
          <w:iCs/>
          <w:sz w:val="24"/>
          <w:szCs w:val="24"/>
        </w:rPr>
        <w:t xml:space="preserve"> 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(0)</w:t>
      </w:r>
      <w:r w:rsidRPr="006D178F">
        <w:rPr>
          <w:rFonts w:ascii="Times New Roman" w:hAnsi="Times New Roman"/>
          <w:iCs/>
          <w:sz w:val="24"/>
          <w:szCs w:val="24"/>
        </w:rPr>
        <w:t>|J=</w:t>
      </w:r>
      <w:r w:rsidRPr="006D178F">
        <w:rPr>
          <w:rFonts w:ascii="Times New Roman" w:hAnsi="Times New Roman"/>
          <w:sz w:val="24"/>
          <w:szCs w:val="24"/>
        </w:rPr>
        <w:t>1]</w:t>
      </w:r>
      <w:r w:rsidRPr="006D178F">
        <w:rPr>
          <w:rFonts w:ascii="Times New Roman" w:hAnsi="Times New Roman"/>
          <w:iCs/>
          <w:sz w:val="24"/>
          <w:szCs w:val="24"/>
        </w:rPr>
        <w:t xml:space="preserve">                                            </w:t>
      </w:r>
      <w:r w:rsidRPr="006D178F">
        <w:rPr>
          <w:rFonts w:ascii="Times New Roman" w:hAnsi="Times New Roman"/>
          <w:sz w:val="24"/>
          <w:szCs w:val="24"/>
        </w:rPr>
        <w:t>(3)</w:t>
      </w:r>
      <w:r w:rsidRPr="006D178F">
        <w:rPr>
          <w:rFonts w:ascii="Times New Roman" w:hAnsi="Times New Roman"/>
          <w:sz w:val="24"/>
          <w:szCs w:val="24"/>
        </w:rPr>
        <w:br/>
      </w:r>
      <w:r w:rsidRPr="006D178F">
        <w:rPr>
          <w:rStyle w:val="fontstyle01"/>
          <w:b w:val="0"/>
          <w:sz w:val="24"/>
          <w:szCs w:val="24"/>
        </w:rPr>
        <w:t>As the counterfactual mean for those that adopted CSA technology - E[Y (0)| J=1] - is not observed, one has to choose a proper substitute for it in order to estimate ATT. However, the food security status of adopters and non-adopters would differ even in the absence of the CSA technology leading to a ‘self-selection bias’. For ATT it can be noted as:</w:t>
      </w:r>
    </w:p>
    <w:p w:rsidR="006739FA" w:rsidRPr="006D178F" w:rsidRDefault="006739FA" w:rsidP="00B73204">
      <w:pPr>
        <w:spacing w:line="360" w:lineRule="auto"/>
        <w:jc w:val="both"/>
        <w:rPr>
          <w:rFonts w:ascii="Times New Roman" w:hAnsi="Times New Roman"/>
          <w:sz w:val="24"/>
          <w:szCs w:val="24"/>
        </w:rPr>
      </w:pPr>
      <w:r w:rsidRPr="006D178F">
        <w:rPr>
          <w:rFonts w:ascii="Times New Roman" w:hAnsi="Times New Roman"/>
          <w:iCs/>
          <w:sz w:val="24"/>
          <w:szCs w:val="24"/>
        </w:rPr>
        <w:t>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(1)|</w:t>
      </w:r>
      <w:r w:rsidRPr="006D178F">
        <w:rPr>
          <w:rFonts w:ascii="Times New Roman" w:hAnsi="Times New Roman"/>
          <w:iCs/>
          <w:sz w:val="24"/>
          <w:szCs w:val="24"/>
        </w:rPr>
        <w:t xml:space="preserve">J </w:t>
      </w:r>
      <w:r w:rsidRPr="006D178F">
        <w:rPr>
          <w:rFonts w:ascii="Times New Roman" w:hAnsi="Times New Roman"/>
          <w:sz w:val="24"/>
          <w:szCs w:val="24"/>
        </w:rPr>
        <w:t xml:space="preserve">= 1] </w:t>
      </w:r>
      <w:r w:rsidRPr="006D178F">
        <w:rPr>
          <w:rFonts w:ascii="Times New Roman" w:hAnsi="Times New Roman"/>
          <w:iCs/>
          <w:sz w:val="24"/>
          <w:szCs w:val="24"/>
        </w:rPr>
        <w:t>- 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(0)|</w:t>
      </w:r>
      <w:r w:rsidRPr="006D178F">
        <w:rPr>
          <w:rFonts w:ascii="Times New Roman" w:hAnsi="Times New Roman"/>
          <w:iCs/>
          <w:sz w:val="24"/>
          <w:szCs w:val="24"/>
        </w:rPr>
        <w:t xml:space="preserve">J </w:t>
      </w:r>
      <w:r w:rsidRPr="006D178F">
        <w:rPr>
          <w:rFonts w:ascii="Times New Roman" w:hAnsi="Times New Roman"/>
          <w:sz w:val="24"/>
          <w:szCs w:val="24"/>
        </w:rPr>
        <w:t xml:space="preserve">= 0] = </w:t>
      </w:r>
      <w:r w:rsidRPr="006D178F">
        <w:rPr>
          <w:rFonts w:ascii="Cambria Math" w:hAnsi="Cambria Math" w:cs="Cambria Math"/>
          <w:sz w:val="24"/>
          <w:szCs w:val="24"/>
        </w:rPr>
        <w:t>𝜏</w:t>
      </w:r>
      <w:r w:rsidRPr="006D178F">
        <w:rPr>
          <w:rFonts w:ascii="Times New Roman" w:hAnsi="Times New Roman"/>
          <w:iCs/>
          <w:sz w:val="24"/>
          <w:szCs w:val="24"/>
          <w:vertAlign w:val="subscript"/>
        </w:rPr>
        <w:t>ATT</w:t>
      </w:r>
      <w:r w:rsidRPr="006D178F">
        <w:rPr>
          <w:rFonts w:ascii="Times New Roman" w:hAnsi="Times New Roman"/>
          <w:iCs/>
          <w:sz w:val="24"/>
          <w:szCs w:val="24"/>
        </w:rPr>
        <w:t xml:space="preserve"> </w:t>
      </w:r>
      <w:r w:rsidRPr="006D178F">
        <w:rPr>
          <w:rFonts w:ascii="Times New Roman" w:hAnsi="Times New Roman"/>
          <w:sz w:val="24"/>
          <w:szCs w:val="24"/>
        </w:rPr>
        <w:t xml:space="preserve">+ </w:t>
      </w:r>
      <w:r w:rsidRPr="006D178F">
        <w:rPr>
          <w:rFonts w:ascii="Times New Roman" w:hAnsi="Times New Roman"/>
          <w:iCs/>
          <w:sz w:val="24"/>
          <w:szCs w:val="24"/>
        </w:rPr>
        <w:t>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(0)</w:t>
      </w:r>
      <w:r w:rsidRPr="006D178F">
        <w:rPr>
          <w:rFonts w:ascii="Times New Roman" w:hAnsi="Times New Roman"/>
          <w:iCs/>
          <w:sz w:val="24"/>
          <w:szCs w:val="24"/>
        </w:rPr>
        <w:t xml:space="preserve">| J </w:t>
      </w:r>
      <w:r w:rsidRPr="006D178F">
        <w:rPr>
          <w:rFonts w:ascii="Times New Roman" w:hAnsi="Times New Roman"/>
          <w:sz w:val="24"/>
          <w:szCs w:val="24"/>
        </w:rPr>
        <w:t xml:space="preserve">= 1] </w:t>
      </w:r>
      <w:r w:rsidRPr="006D178F">
        <w:rPr>
          <w:rFonts w:ascii="Times New Roman" w:hAnsi="Times New Roman"/>
          <w:iCs/>
          <w:sz w:val="24"/>
          <w:szCs w:val="24"/>
        </w:rPr>
        <w:t>- 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(0)</w:t>
      </w:r>
      <w:r w:rsidRPr="006D178F">
        <w:rPr>
          <w:rFonts w:ascii="Times New Roman" w:hAnsi="Times New Roman"/>
          <w:iCs/>
          <w:sz w:val="24"/>
          <w:szCs w:val="24"/>
        </w:rPr>
        <w:t xml:space="preserve">|J </w:t>
      </w:r>
      <w:r w:rsidRPr="006D178F">
        <w:rPr>
          <w:rFonts w:ascii="Times New Roman" w:hAnsi="Times New Roman"/>
          <w:sz w:val="24"/>
          <w:szCs w:val="24"/>
        </w:rPr>
        <w:t>= 0]                 (4)</w:t>
      </w:r>
    </w:p>
    <w:p w:rsidR="006739FA" w:rsidRPr="006D178F" w:rsidRDefault="006739FA" w:rsidP="00B73204">
      <w:pPr>
        <w:spacing w:line="360" w:lineRule="auto"/>
        <w:jc w:val="both"/>
        <w:rPr>
          <w:rFonts w:ascii="Times New Roman" w:hAnsi="Times New Roman"/>
          <w:sz w:val="24"/>
          <w:szCs w:val="24"/>
        </w:rPr>
      </w:pPr>
      <w:r w:rsidRPr="006D178F">
        <w:rPr>
          <w:rFonts w:ascii="Times New Roman" w:hAnsi="Times New Roman"/>
          <w:sz w:val="24"/>
          <w:szCs w:val="24"/>
        </w:rPr>
        <w:t xml:space="preserve">The difference between the left hand side of equation (3) and </w:t>
      </w:r>
      <w:r w:rsidRPr="006D178F">
        <w:rPr>
          <w:rFonts w:ascii="Cambria Math" w:hAnsi="Cambria Math" w:cs="Cambria Math"/>
          <w:sz w:val="24"/>
          <w:szCs w:val="24"/>
        </w:rPr>
        <w:t>𝜏</w:t>
      </w:r>
      <w:r w:rsidRPr="006D178F">
        <w:rPr>
          <w:rFonts w:ascii="Times New Roman" w:hAnsi="Times New Roman"/>
          <w:iCs/>
          <w:sz w:val="24"/>
          <w:szCs w:val="24"/>
          <w:vertAlign w:val="subscript"/>
        </w:rPr>
        <w:t>ATT</w:t>
      </w:r>
      <w:r w:rsidRPr="006D178F">
        <w:rPr>
          <w:rFonts w:ascii="Times New Roman" w:hAnsi="Times New Roman"/>
          <w:iCs/>
          <w:sz w:val="24"/>
          <w:szCs w:val="24"/>
        </w:rPr>
        <w:t xml:space="preserve"> </w:t>
      </w:r>
      <w:r w:rsidRPr="006D178F">
        <w:rPr>
          <w:rFonts w:ascii="Times New Roman" w:hAnsi="Times New Roman"/>
          <w:sz w:val="24"/>
          <w:szCs w:val="24"/>
        </w:rPr>
        <w:t xml:space="preserve">is the so-called ‘self-selection bias’. The true parameter </w:t>
      </w:r>
      <w:r w:rsidRPr="006D178F">
        <w:rPr>
          <w:rFonts w:ascii="Cambria Math" w:hAnsi="Cambria Math" w:cs="Cambria Math"/>
          <w:sz w:val="24"/>
          <w:szCs w:val="24"/>
        </w:rPr>
        <w:t>𝜏</w:t>
      </w:r>
      <w:r w:rsidRPr="006D178F">
        <w:rPr>
          <w:rFonts w:ascii="Times New Roman" w:hAnsi="Times New Roman"/>
          <w:iCs/>
          <w:sz w:val="24"/>
          <w:szCs w:val="24"/>
          <w:vertAlign w:val="subscript"/>
        </w:rPr>
        <w:t xml:space="preserve">ATT </w:t>
      </w:r>
      <w:r w:rsidRPr="006D178F">
        <w:rPr>
          <w:rFonts w:ascii="Times New Roman" w:hAnsi="Times New Roman"/>
          <w:sz w:val="24"/>
          <w:szCs w:val="24"/>
        </w:rPr>
        <w:t>is only identified, if:</w:t>
      </w:r>
    </w:p>
    <w:p w:rsidR="006739FA" w:rsidRPr="006D178F" w:rsidRDefault="006739FA" w:rsidP="00B73204">
      <w:pPr>
        <w:spacing w:line="360" w:lineRule="auto"/>
        <w:jc w:val="both"/>
        <w:rPr>
          <w:rFonts w:ascii="Times New Roman" w:hAnsi="Times New Roman"/>
          <w:sz w:val="24"/>
          <w:szCs w:val="24"/>
        </w:rPr>
      </w:pPr>
      <w:r w:rsidRPr="006D178F">
        <w:rPr>
          <w:rFonts w:ascii="Times New Roman" w:hAnsi="Times New Roman"/>
          <w:iCs/>
          <w:sz w:val="24"/>
          <w:szCs w:val="24"/>
        </w:rPr>
        <w:t>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(0)</w:t>
      </w:r>
      <w:r w:rsidRPr="006D178F">
        <w:rPr>
          <w:rFonts w:ascii="Times New Roman" w:hAnsi="Times New Roman"/>
          <w:iCs/>
          <w:sz w:val="24"/>
          <w:szCs w:val="24"/>
        </w:rPr>
        <w:t xml:space="preserve">|J </w:t>
      </w:r>
      <w:r w:rsidRPr="006D178F">
        <w:rPr>
          <w:rFonts w:ascii="Times New Roman" w:hAnsi="Times New Roman"/>
          <w:sz w:val="24"/>
          <w:szCs w:val="24"/>
        </w:rPr>
        <w:t xml:space="preserve">= 1] </w:t>
      </w:r>
      <w:r w:rsidRPr="006D178F">
        <w:rPr>
          <w:rFonts w:ascii="Times New Roman" w:hAnsi="Times New Roman"/>
          <w:iCs/>
          <w:sz w:val="24"/>
          <w:szCs w:val="24"/>
        </w:rPr>
        <w:t>- 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(0)</w:t>
      </w:r>
      <w:r w:rsidRPr="006D178F">
        <w:rPr>
          <w:rFonts w:ascii="Times New Roman" w:hAnsi="Times New Roman"/>
          <w:iCs/>
          <w:sz w:val="24"/>
          <w:szCs w:val="24"/>
        </w:rPr>
        <w:t xml:space="preserve">|J </w:t>
      </w:r>
      <w:r w:rsidRPr="006D178F">
        <w:rPr>
          <w:rFonts w:ascii="Times New Roman" w:hAnsi="Times New Roman"/>
          <w:sz w:val="24"/>
          <w:szCs w:val="24"/>
        </w:rPr>
        <w:t xml:space="preserve">= 0] = 0       </w:t>
      </w:r>
      <w:r w:rsidRPr="006D178F">
        <w:rPr>
          <w:rFonts w:ascii="Times New Roman" w:hAnsi="Times New Roman"/>
          <w:iCs/>
          <w:sz w:val="24"/>
          <w:szCs w:val="24"/>
        </w:rPr>
        <w:t xml:space="preserve">                                                                        </w:t>
      </w:r>
      <w:r w:rsidRPr="006D178F">
        <w:rPr>
          <w:rFonts w:ascii="Times New Roman" w:hAnsi="Times New Roman"/>
          <w:sz w:val="24"/>
          <w:szCs w:val="24"/>
        </w:rPr>
        <w:t>(5)</w:t>
      </w:r>
    </w:p>
    <w:p w:rsidR="006739FA" w:rsidRPr="006D178F" w:rsidRDefault="006739FA" w:rsidP="00B73204">
      <w:pPr>
        <w:spacing w:line="360" w:lineRule="auto"/>
        <w:jc w:val="both"/>
        <w:rPr>
          <w:rFonts w:ascii="Times New Roman" w:hAnsi="Times New Roman"/>
          <w:sz w:val="24"/>
          <w:szCs w:val="24"/>
        </w:rPr>
      </w:pPr>
      <w:r w:rsidRPr="006D178F">
        <w:rPr>
          <w:rFonts w:ascii="Times New Roman" w:hAnsi="Times New Roman"/>
          <w:sz w:val="24"/>
          <w:szCs w:val="24"/>
        </w:rPr>
        <w:t xml:space="preserve">Hence, a valid substitute has to be chosen to estimate ATT. In non-experimental studies one has to invoke some identifying assumptions to solve the section problem stated in equation (4). </w:t>
      </w:r>
    </w:p>
    <w:p w:rsidR="006739FA" w:rsidRPr="006D178F" w:rsidRDefault="006739FA" w:rsidP="00B73204">
      <w:pPr>
        <w:spacing w:line="360" w:lineRule="auto"/>
        <w:rPr>
          <w:rFonts w:ascii="Times New Roman" w:hAnsi="Times New Roman"/>
          <w:sz w:val="24"/>
          <w:szCs w:val="24"/>
        </w:rPr>
      </w:pPr>
      <w:r w:rsidRPr="006D178F">
        <w:rPr>
          <w:rFonts w:ascii="Times New Roman" w:hAnsi="Times New Roman"/>
          <w:sz w:val="24"/>
          <w:szCs w:val="24"/>
        </w:rPr>
        <w:t xml:space="preserve">Assume that given a set of observable covariates </w:t>
      </w:r>
      <w:r w:rsidRPr="006D178F">
        <w:rPr>
          <w:rFonts w:ascii="Times New Roman" w:hAnsi="Times New Roman"/>
          <w:i/>
          <w:iCs/>
          <w:sz w:val="24"/>
          <w:szCs w:val="24"/>
        </w:rPr>
        <w:t xml:space="preserve">X </w:t>
      </w:r>
      <w:r w:rsidRPr="006D178F">
        <w:rPr>
          <w:rFonts w:ascii="Times New Roman" w:hAnsi="Times New Roman"/>
          <w:sz w:val="24"/>
          <w:szCs w:val="24"/>
        </w:rPr>
        <w:t>which are not affected by adoption of CSA technology, potential food security status is independent of adoption:</w:t>
      </w:r>
    </w:p>
    <w:p w:rsidR="006739FA" w:rsidRPr="006D178F" w:rsidRDefault="006739FA" w:rsidP="00B73204">
      <w:pPr>
        <w:spacing w:line="360" w:lineRule="auto"/>
        <w:jc w:val="both"/>
        <w:rPr>
          <w:rFonts w:ascii="Times New Roman" w:hAnsi="Times New Roman"/>
          <w:sz w:val="24"/>
          <w:szCs w:val="24"/>
        </w:rPr>
      </w:pPr>
      <w:r w:rsidRPr="006D178F">
        <w:rPr>
          <w:rFonts w:ascii="Times New Roman" w:hAnsi="Times New Roman"/>
          <w:sz w:val="24"/>
          <w:szCs w:val="24"/>
        </w:rPr>
        <w:t xml:space="preserve">(Un confoundedness) </w:t>
      </w:r>
      <w:r w:rsidRPr="006D178F">
        <w:rPr>
          <w:rFonts w:ascii="Times New Roman" w:hAnsi="Times New Roman"/>
          <w:i/>
          <w:iCs/>
          <w:sz w:val="24"/>
          <w:szCs w:val="24"/>
        </w:rPr>
        <w:t xml:space="preserve">Y </w:t>
      </w:r>
      <w:r w:rsidRPr="006D178F">
        <w:rPr>
          <w:rFonts w:ascii="Times New Roman" w:hAnsi="Times New Roman"/>
          <w:sz w:val="24"/>
          <w:szCs w:val="24"/>
        </w:rPr>
        <w:t>(0),</w:t>
      </w:r>
      <w:r w:rsidRPr="006D178F">
        <w:rPr>
          <w:rFonts w:ascii="Times New Roman" w:hAnsi="Times New Roman"/>
          <w:i/>
          <w:iCs/>
          <w:sz w:val="24"/>
          <w:szCs w:val="24"/>
        </w:rPr>
        <w:t xml:space="preserve">  Y </w:t>
      </w:r>
      <w:r w:rsidRPr="006D178F">
        <w:rPr>
          <w:rFonts w:ascii="Times New Roman" w:hAnsi="Times New Roman"/>
          <w:sz w:val="24"/>
          <w:szCs w:val="24"/>
        </w:rPr>
        <w:t xml:space="preserve">(1)  </w:t>
      </w:r>
      <w:r w:rsidRPr="006D178F">
        <w:rPr>
          <w:rFonts w:ascii="Cambria Math" w:hAnsi="Cambria Math" w:cs="Cambria Math"/>
          <w:sz w:val="24"/>
          <w:szCs w:val="24"/>
        </w:rPr>
        <w:t>⨿</w:t>
      </w:r>
      <w:r w:rsidRPr="006D178F">
        <w:rPr>
          <w:rFonts w:ascii="Times New Roman" w:hAnsi="Times New Roman"/>
          <w:i/>
          <w:iCs/>
          <w:sz w:val="24"/>
          <w:szCs w:val="24"/>
        </w:rPr>
        <w:t xml:space="preserve">  J |P(X);                                                         </w:t>
      </w:r>
      <w:r w:rsidRPr="006D178F">
        <w:rPr>
          <w:rFonts w:ascii="Times New Roman" w:hAnsi="Times New Roman"/>
          <w:sz w:val="24"/>
          <w:szCs w:val="24"/>
        </w:rPr>
        <w:t>(6)</w:t>
      </w:r>
      <w:r w:rsidRPr="006D178F">
        <w:rPr>
          <w:rFonts w:ascii="Times New Roman" w:hAnsi="Times New Roman"/>
          <w:sz w:val="24"/>
          <w:szCs w:val="24"/>
        </w:rPr>
        <w:br/>
      </w:r>
      <w:r w:rsidRPr="006D178F">
        <w:rPr>
          <w:rStyle w:val="fontstyle01"/>
          <w:b w:val="0"/>
          <w:sz w:val="24"/>
          <w:szCs w:val="24"/>
        </w:rPr>
        <w:t xml:space="preserve">This implies, that selection is solely based on observable characteristics and that all variables that influence adoption of CSA technology and potential food security status simultaneously are observed by the researcher. The other assumption </w:t>
      </w:r>
      <w:r w:rsidRPr="006D178F">
        <w:rPr>
          <w:rFonts w:ascii="Times New Roman" w:hAnsi="Times New Roman"/>
          <w:sz w:val="24"/>
          <w:szCs w:val="24"/>
        </w:rPr>
        <w:t xml:space="preserve">is the common support or overlap condition. It rules out the phenomenon of perfect predictability of </w:t>
      </w:r>
      <w:r w:rsidRPr="006D178F">
        <w:rPr>
          <w:rFonts w:ascii="Times New Roman" w:hAnsi="Times New Roman"/>
          <w:i/>
          <w:iCs/>
          <w:sz w:val="24"/>
          <w:szCs w:val="24"/>
        </w:rPr>
        <w:t xml:space="preserve">J </w:t>
      </w:r>
      <w:r w:rsidRPr="006D178F">
        <w:rPr>
          <w:rFonts w:ascii="Times New Roman" w:hAnsi="Times New Roman"/>
          <w:sz w:val="24"/>
          <w:szCs w:val="24"/>
        </w:rPr>
        <w:t xml:space="preserve">given </w:t>
      </w:r>
      <w:r w:rsidRPr="006D178F">
        <w:rPr>
          <w:rFonts w:ascii="Times New Roman" w:hAnsi="Times New Roman"/>
          <w:i/>
          <w:iCs/>
          <w:sz w:val="24"/>
          <w:szCs w:val="24"/>
        </w:rPr>
        <w:t>X</w:t>
      </w:r>
      <w:r w:rsidRPr="006D178F">
        <w:rPr>
          <w:rFonts w:ascii="Times New Roman" w:hAnsi="Times New Roman"/>
          <w:sz w:val="24"/>
          <w:szCs w:val="24"/>
        </w:rPr>
        <w:t>:</w:t>
      </w:r>
    </w:p>
    <w:p w:rsidR="006739FA" w:rsidRPr="006D178F" w:rsidRDefault="006739FA" w:rsidP="00B73204">
      <w:pPr>
        <w:spacing w:line="360" w:lineRule="auto"/>
        <w:rPr>
          <w:rFonts w:ascii="Times New Roman" w:hAnsi="Times New Roman"/>
          <w:sz w:val="24"/>
          <w:szCs w:val="24"/>
        </w:rPr>
      </w:pPr>
      <w:r w:rsidRPr="006D178F">
        <w:rPr>
          <w:rFonts w:ascii="Times New Roman" w:hAnsi="Times New Roman"/>
          <w:sz w:val="24"/>
          <w:szCs w:val="24"/>
        </w:rPr>
        <w:t xml:space="preserve">(Overlap) 0 </w:t>
      </w:r>
      <w:r w:rsidRPr="006D178F">
        <w:rPr>
          <w:rFonts w:ascii="Times New Roman" w:hAnsi="Times New Roman"/>
          <w:i/>
          <w:iCs/>
          <w:sz w:val="24"/>
          <w:szCs w:val="24"/>
        </w:rPr>
        <w:t>&lt; P</w:t>
      </w:r>
      <w:r w:rsidRPr="006D178F">
        <w:rPr>
          <w:rFonts w:ascii="Times New Roman" w:hAnsi="Times New Roman"/>
          <w:sz w:val="24"/>
          <w:szCs w:val="24"/>
        </w:rPr>
        <w:t>(</w:t>
      </w:r>
      <w:r w:rsidRPr="006D178F">
        <w:rPr>
          <w:rFonts w:ascii="Times New Roman" w:hAnsi="Times New Roman"/>
          <w:i/>
          <w:iCs/>
          <w:sz w:val="24"/>
          <w:szCs w:val="24"/>
        </w:rPr>
        <w:t xml:space="preserve">J </w:t>
      </w:r>
      <w:r w:rsidRPr="006D178F">
        <w:rPr>
          <w:rFonts w:ascii="Times New Roman" w:hAnsi="Times New Roman"/>
          <w:sz w:val="24"/>
          <w:szCs w:val="24"/>
        </w:rPr>
        <w:t>= 1|</w:t>
      </w:r>
      <w:r w:rsidRPr="006D178F">
        <w:rPr>
          <w:rFonts w:ascii="Times New Roman" w:hAnsi="Times New Roman"/>
          <w:i/>
          <w:iCs/>
          <w:sz w:val="24"/>
          <w:szCs w:val="24"/>
        </w:rPr>
        <w:t>X</w:t>
      </w:r>
      <w:r w:rsidRPr="006D178F">
        <w:rPr>
          <w:rFonts w:ascii="Times New Roman" w:hAnsi="Times New Roman"/>
          <w:sz w:val="24"/>
          <w:szCs w:val="24"/>
        </w:rPr>
        <w:t xml:space="preserve">) </w:t>
      </w:r>
      <w:r w:rsidRPr="006D178F">
        <w:rPr>
          <w:rFonts w:ascii="Times New Roman" w:hAnsi="Times New Roman"/>
          <w:i/>
          <w:iCs/>
          <w:sz w:val="24"/>
          <w:szCs w:val="24"/>
        </w:rPr>
        <w:t xml:space="preserve">&lt; </w:t>
      </w:r>
      <w:r w:rsidRPr="006D178F">
        <w:rPr>
          <w:rFonts w:ascii="Times New Roman" w:hAnsi="Times New Roman"/>
          <w:sz w:val="24"/>
          <w:szCs w:val="24"/>
        </w:rPr>
        <w:t>1                                                                                 (7)</w:t>
      </w:r>
    </w:p>
    <w:p w:rsidR="006739FA" w:rsidRPr="006D178F" w:rsidRDefault="006739FA" w:rsidP="00B73204">
      <w:pPr>
        <w:spacing w:line="360" w:lineRule="auto"/>
        <w:rPr>
          <w:rFonts w:ascii="Times New Roman" w:hAnsi="Times New Roman"/>
          <w:sz w:val="24"/>
          <w:szCs w:val="24"/>
        </w:rPr>
      </w:pPr>
      <w:r w:rsidRPr="006D178F">
        <w:rPr>
          <w:rFonts w:ascii="Times New Roman" w:hAnsi="Times New Roman"/>
          <w:sz w:val="24"/>
          <w:szCs w:val="24"/>
        </w:rPr>
        <w:t xml:space="preserve">It ensures that persons with the same </w:t>
      </w:r>
      <w:r w:rsidRPr="006D178F">
        <w:rPr>
          <w:rFonts w:ascii="Times New Roman" w:hAnsi="Times New Roman"/>
          <w:i/>
          <w:iCs/>
          <w:sz w:val="24"/>
          <w:szCs w:val="24"/>
        </w:rPr>
        <w:t xml:space="preserve">X </w:t>
      </w:r>
      <w:r w:rsidRPr="006D178F">
        <w:rPr>
          <w:rFonts w:ascii="Times New Roman" w:hAnsi="Times New Roman"/>
          <w:sz w:val="24"/>
          <w:szCs w:val="24"/>
        </w:rPr>
        <w:t xml:space="preserve">values have a positive probability of being both adopter and non-adopter of CSA technology. </w:t>
      </w:r>
    </w:p>
    <w:p w:rsidR="006739FA" w:rsidRPr="006D178F" w:rsidRDefault="006739FA" w:rsidP="00B73204">
      <w:pPr>
        <w:spacing w:line="360" w:lineRule="auto"/>
        <w:jc w:val="both"/>
        <w:rPr>
          <w:rFonts w:ascii="Times New Roman" w:hAnsi="Times New Roman"/>
          <w:sz w:val="24"/>
          <w:szCs w:val="24"/>
        </w:rPr>
      </w:pPr>
      <w:r w:rsidRPr="006D178F">
        <w:rPr>
          <w:rFonts w:ascii="Times New Roman" w:hAnsi="Times New Roman"/>
          <w:sz w:val="24"/>
          <w:szCs w:val="24"/>
        </w:rPr>
        <w:t>Given that CIA holds and assuming additional that there is overlap between both groups</w:t>
      </w:r>
      <w:r w:rsidRPr="006D178F">
        <w:rPr>
          <w:rFonts w:ascii="Times New Roman" w:hAnsi="Times New Roman"/>
          <w:sz w:val="24"/>
          <w:szCs w:val="24"/>
        </w:rPr>
        <w:fldChar w:fldCharType="begin" w:fldLock="1"/>
      </w:r>
      <w:r w:rsidR="00AF10EC">
        <w:rPr>
          <w:rFonts w:ascii="Times New Roman" w:hAnsi="Times New Roman"/>
          <w:sz w:val="24"/>
          <w:szCs w:val="24"/>
        </w:rPr>
        <w:instrText>ADDIN CSL_CITATION {"citationItems":[{"id":"ITEM-1","itemData":{"DOI":"10.1017/CBO9780511810725.016","ISBN":"9780511810725","abstract":"The propensity score is the conditional probability of assignment to a particular treatment given a vector of observed covariates. Both large and small sample theory show that adjustment for the scalar propensity score is sufficient to remove bias due to all observed covariates. Applications include: (i) matched sampling on the univariate propensity score, which is a generalization of discriminant matching, (ii) multivariate adjustment by subclassification on the propensity score where the same subclasses are used to estimate treatment effects for all outcome variables and in all subpopulations, and (iii) visual representation of multivariate covariance adjustment by a two-dimensional plot.","author":[{"dropping-particle":"","family":"Rosenbaum","given":"Paul R.","non-dropping-particle":"","parse-names":false,"suffix":""},{"dropping-particle":"","family":"Rubin","given":"Donald B.","non-dropping-particle":"","parse-names":false,"suffix":""}],"container-title":"Matched Sampling for Causal Effects","id":"ITEM-1","issue":"1083","issued":{"date-parts":[["2006"]]},"page":"170-184","title":"The central role of the propensity score in observational studies for causal effects","type":"article-journal"},"uris":["http://www.mendeley.com/documents/?uuid=97c3b3cd-96e1-4393-b92e-83d3ff173029"]}],"mendeley":{"formattedCitation":"(Rosenbaum &amp; Rubin, 2006)","plainTextFormattedCitation":"(Rosenbaum &amp; Rubin, 2006)","previouslyFormattedCitation":"(Rosenbaum, 2006)"},"properties":{"noteIndex":0},"schema":"https://github.com/citation-style-language/schema/raw/master/csl-citation.json"}</w:instrText>
      </w:r>
      <w:r w:rsidRPr="006D178F">
        <w:rPr>
          <w:rFonts w:ascii="Times New Roman" w:hAnsi="Times New Roman"/>
          <w:sz w:val="24"/>
          <w:szCs w:val="24"/>
        </w:rPr>
        <w:fldChar w:fldCharType="separate"/>
      </w:r>
      <w:r w:rsidR="00AF10EC" w:rsidRPr="00AF10EC">
        <w:rPr>
          <w:rFonts w:ascii="Times New Roman" w:hAnsi="Times New Roman"/>
          <w:noProof/>
          <w:sz w:val="24"/>
          <w:szCs w:val="24"/>
        </w:rPr>
        <w:t>(Rosenbaum &amp; Rubin, 2006)</w:t>
      </w:r>
      <w:r w:rsidRPr="006D178F">
        <w:rPr>
          <w:rFonts w:ascii="Times New Roman" w:hAnsi="Times New Roman"/>
          <w:sz w:val="24"/>
          <w:szCs w:val="24"/>
        </w:rPr>
        <w:fldChar w:fldCharType="end"/>
      </w:r>
      <w:r w:rsidRPr="006D178F">
        <w:rPr>
          <w:rFonts w:ascii="Times New Roman" w:hAnsi="Times New Roman"/>
          <w:sz w:val="24"/>
          <w:szCs w:val="24"/>
        </w:rPr>
        <w:t xml:space="preserve"> (called ‘strong ignorability’), the PSM estimator for ATT can be written in general as:</w:t>
      </w:r>
    </w:p>
    <w:p w:rsidR="006739FA" w:rsidRPr="006D178F" w:rsidRDefault="006739FA" w:rsidP="00B73204">
      <w:pPr>
        <w:spacing w:line="360" w:lineRule="auto"/>
        <w:jc w:val="both"/>
        <w:rPr>
          <w:rStyle w:val="fontstyle01"/>
          <w:b w:val="0"/>
          <w:sz w:val="24"/>
          <w:szCs w:val="24"/>
        </w:rPr>
      </w:pPr>
      <w:r w:rsidRPr="006D178F">
        <w:rPr>
          <w:rFonts w:ascii="Cambria Math" w:hAnsi="Cambria Math" w:cs="Cambria Math"/>
          <w:sz w:val="24"/>
          <w:szCs w:val="24"/>
        </w:rPr>
        <w:t>𝜏</w:t>
      </w:r>
      <w:r w:rsidRPr="006D178F">
        <w:rPr>
          <w:rFonts w:ascii="Times New Roman" w:hAnsi="Times New Roman"/>
          <w:sz w:val="24"/>
          <w:szCs w:val="24"/>
          <w:vertAlign w:val="superscript"/>
        </w:rPr>
        <w:t>PSM</w:t>
      </w:r>
      <w:r w:rsidRPr="006D178F">
        <w:rPr>
          <w:rFonts w:ascii="Times New Roman" w:hAnsi="Times New Roman"/>
          <w:iCs/>
          <w:sz w:val="24"/>
          <w:szCs w:val="24"/>
          <w:vertAlign w:val="subscript"/>
        </w:rPr>
        <w:t>ATT</w:t>
      </w:r>
      <w:r w:rsidRPr="006D178F">
        <w:rPr>
          <w:rFonts w:ascii="Times New Roman" w:hAnsi="Times New Roman"/>
          <w:i/>
          <w:iCs/>
          <w:sz w:val="24"/>
          <w:szCs w:val="24"/>
        </w:rPr>
        <w:t xml:space="preserve">  </w:t>
      </w:r>
      <w:r w:rsidRPr="006D178F">
        <w:rPr>
          <w:rFonts w:ascii="Times New Roman" w:hAnsi="Times New Roman"/>
          <w:sz w:val="24"/>
          <w:szCs w:val="24"/>
        </w:rPr>
        <w:t xml:space="preserve">= </w:t>
      </w:r>
      <w:r w:rsidRPr="006D178F">
        <w:rPr>
          <w:rFonts w:ascii="Times New Roman" w:hAnsi="Times New Roman"/>
          <w:iCs/>
          <w:sz w:val="24"/>
          <w:szCs w:val="24"/>
        </w:rPr>
        <w:t xml:space="preserve">E </w:t>
      </w:r>
      <w:r w:rsidRPr="006D178F">
        <w:rPr>
          <w:rFonts w:ascii="Times New Roman" w:hAnsi="Times New Roman"/>
          <w:iCs/>
          <w:sz w:val="24"/>
          <w:szCs w:val="24"/>
          <w:vertAlign w:val="subscript"/>
        </w:rPr>
        <w:t>P(X)|J=1</w:t>
      </w:r>
      <w:r w:rsidRPr="006D178F">
        <w:rPr>
          <w:rFonts w:ascii="Times New Roman" w:hAnsi="Times New Roman"/>
          <w:iCs/>
          <w:sz w:val="24"/>
          <w:szCs w:val="24"/>
        </w:rPr>
        <w:t>{E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(1)</w:t>
      </w:r>
      <w:r w:rsidRPr="006D178F">
        <w:rPr>
          <w:rFonts w:ascii="Times New Roman" w:hAnsi="Times New Roman"/>
          <w:iCs/>
          <w:sz w:val="24"/>
          <w:szCs w:val="24"/>
        </w:rPr>
        <w:t xml:space="preserve">| J </w:t>
      </w:r>
      <w:r w:rsidRPr="006D178F">
        <w:rPr>
          <w:rFonts w:ascii="Times New Roman" w:hAnsi="Times New Roman"/>
          <w:sz w:val="24"/>
          <w:szCs w:val="24"/>
        </w:rPr>
        <w:t>= 1</w:t>
      </w:r>
      <w:r w:rsidRPr="006D178F">
        <w:rPr>
          <w:rFonts w:ascii="Times New Roman" w:hAnsi="Times New Roman"/>
          <w:iCs/>
          <w:sz w:val="24"/>
          <w:szCs w:val="24"/>
        </w:rPr>
        <w:t>, P</w:t>
      </w:r>
      <w:r w:rsidRPr="006D178F">
        <w:rPr>
          <w:rFonts w:ascii="Times New Roman" w:hAnsi="Times New Roman"/>
          <w:sz w:val="24"/>
          <w:szCs w:val="24"/>
        </w:rPr>
        <w:t>(</w:t>
      </w:r>
      <w:r w:rsidRPr="006D178F">
        <w:rPr>
          <w:rFonts w:ascii="Times New Roman" w:hAnsi="Times New Roman"/>
          <w:iCs/>
          <w:sz w:val="24"/>
          <w:szCs w:val="24"/>
        </w:rPr>
        <w:t>X</w:t>
      </w:r>
      <w:r w:rsidRPr="006D178F">
        <w:rPr>
          <w:rFonts w:ascii="Times New Roman" w:hAnsi="Times New Roman"/>
          <w:sz w:val="24"/>
          <w:szCs w:val="24"/>
        </w:rPr>
        <w:t xml:space="preserve">)] </w:t>
      </w:r>
      <w:r w:rsidRPr="006D178F">
        <w:rPr>
          <w:rFonts w:ascii="Times New Roman" w:hAnsi="Times New Roman"/>
          <w:iCs/>
          <w:sz w:val="24"/>
          <w:szCs w:val="24"/>
        </w:rPr>
        <w:t>- E</w:t>
      </w:r>
      <w:r w:rsidRPr="006D178F">
        <w:rPr>
          <w:rFonts w:ascii="Times New Roman" w:hAnsi="Times New Roman"/>
          <w:sz w:val="24"/>
          <w:szCs w:val="24"/>
        </w:rPr>
        <w:t>[</w:t>
      </w:r>
      <w:r w:rsidRPr="006D178F">
        <w:rPr>
          <w:rFonts w:ascii="Times New Roman" w:hAnsi="Times New Roman"/>
          <w:iCs/>
          <w:sz w:val="24"/>
          <w:szCs w:val="24"/>
        </w:rPr>
        <w:t xml:space="preserve">Y </w:t>
      </w:r>
      <w:r w:rsidRPr="006D178F">
        <w:rPr>
          <w:rFonts w:ascii="Times New Roman" w:hAnsi="Times New Roman"/>
          <w:sz w:val="24"/>
          <w:szCs w:val="24"/>
        </w:rPr>
        <w:t>(0)</w:t>
      </w:r>
      <w:r w:rsidRPr="006D178F">
        <w:rPr>
          <w:rFonts w:ascii="Times New Roman" w:hAnsi="Times New Roman"/>
          <w:iCs/>
          <w:sz w:val="24"/>
          <w:szCs w:val="24"/>
        </w:rPr>
        <w:t xml:space="preserve">|D </w:t>
      </w:r>
      <w:r w:rsidRPr="006D178F">
        <w:rPr>
          <w:rFonts w:ascii="Times New Roman" w:hAnsi="Times New Roman"/>
          <w:sz w:val="24"/>
          <w:szCs w:val="24"/>
        </w:rPr>
        <w:t>= 0</w:t>
      </w:r>
      <w:r w:rsidRPr="006D178F">
        <w:rPr>
          <w:rFonts w:ascii="Times New Roman" w:hAnsi="Times New Roman"/>
          <w:iCs/>
          <w:sz w:val="24"/>
          <w:szCs w:val="24"/>
        </w:rPr>
        <w:t>, P</w:t>
      </w:r>
      <w:r w:rsidRPr="006D178F">
        <w:rPr>
          <w:rFonts w:ascii="Times New Roman" w:hAnsi="Times New Roman"/>
          <w:sz w:val="24"/>
          <w:szCs w:val="24"/>
        </w:rPr>
        <w:t>(</w:t>
      </w:r>
      <w:r w:rsidRPr="006D178F">
        <w:rPr>
          <w:rFonts w:ascii="Times New Roman" w:hAnsi="Times New Roman"/>
          <w:iCs/>
          <w:sz w:val="24"/>
          <w:szCs w:val="24"/>
        </w:rPr>
        <w:t>X</w:t>
      </w:r>
      <w:r w:rsidRPr="006D178F">
        <w:rPr>
          <w:rFonts w:ascii="Times New Roman" w:hAnsi="Times New Roman"/>
          <w:sz w:val="24"/>
          <w:szCs w:val="24"/>
        </w:rPr>
        <w:t>)]}</w:t>
      </w:r>
      <w:r w:rsidRPr="006D178F">
        <w:rPr>
          <w:rFonts w:ascii="Times New Roman" w:hAnsi="Times New Roman"/>
          <w:iCs/>
          <w:sz w:val="24"/>
          <w:szCs w:val="24"/>
        </w:rPr>
        <w:t xml:space="preserve">:                         </w:t>
      </w:r>
      <w:r w:rsidRPr="006D178F">
        <w:rPr>
          <w:rFonts w:ascii="Times New Roman" w:hAnsi="Times New Roman"/>
          <w:sz w:val="24"/>
          <w:szCs w:val="24"/>
        </w:rPr>
        <w:t>(8)</w:t>
      </w:r>
      <w:r w:rsidRPr="006D178F">
        <w:rPr>
          <w:rFonts w:ascii="Times New Roman" w:hAnsi="Times New Roman"/>
          <w:sz w:val="24"/>
          <w:szCs w:val="24"/>
        </w:rPr>
        <w:br/>
      </w:r>
      <w:r w:rsidRPr="006D178F">
        <w:rPr>
          <w:rStyle w:val="fontstyle01"/>
          <w:b w:val="0"/>
          <w:sz w:val="24"/>
          <w:szCs w:val="24"/>
        </w:rPr>
        <w:t xml:space="preserve">That is,  the PSM estimator is simply the mean difference in outcomes over the common support, appropriately weighted by the propensity score distribution of participants.  Since adoption of </w:t>
      </w:r>
      <w:r w:rsidRPr="006D178F">
        <w:rPr>
          <w:rStyle w:val="fontstyle01"/>
          <w:b w:val="0"/>
          <w:sz w:val="24"/>
          <w:szCs w:val="24"/>
        </w:rPr>
        <w:lastRenderedPageBreak/>
        <w:t>CSA practices followed a non-random process, we applied suitable non-experimental methods. Therefore, we use propensity score matching which helps to mimic randomization of the assignment of households and estimate the effect of adoption of CSA technology.</w:t>
      </w:r>
    </w:p>
    <w:p w:rsidR="006739FA" w:rsidRDefault="006739FA" w:rsidP="00B73204">
      <w:pPr>
        <w:spacing w:line="360" w:lineRule="auto"/>
        <w:jc w:val="both"/>
        <w:rPr>
          <w:rFonts w:ascii="Times New Roman" w:hAnsi="Times New Roman"/>
          <w:sz w:val="24"/>
          <w:szCs w:val="24"/>
        </w:rPr>
      </w:pPr>
      <w:r w:rsidRPr="006D178F">
        <w:rPr>
          <w:rFonts w:ascii="Times New Roman" w:hAnsi="Times New Roman"/>
          <w:sz w:val="24"/>
          <w:szCs w:val="24"/>
        </w:rPr>
        <w:t xml:space="preserve">The effect of crop residue management, soil and water conservation, and row planting for adopters and non-adopters farming households on food security is estimated using three alternative matching algorithms and ATT is compared among these algorithms. The matching techniques are nearest neighbor matching (with replacement), radius and stratification matching. Bootstrap standard errors based on 100 replications are used. </w:t>
      </w:r>
    </w:p>
    <w:p w:rsidR="006739FA" w:rsidRDefault="006739FA" w:rsidP="00B73204">
      <w:pPr>
        <w:spacing w:line="360" w:lineRule="auto"/>
        <w:jc w:val="both"/>
        <w:rPr>
          <w:rFonts w:ascii="Times New Roman" w:hAnsi="Times New Roman"/>
          <w:sz w:val="24"/>
          <w:szCs w:val="24"/>
        </w:rPr>
      </w:pPr>
    </w:p>
    <w:p w:rsidR="006739FA" w:rsidRDefault="006739FA"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Default="00666267" w:rsidP="00B73204">
      <w:pPr>
        <w:spacing w:line="360" w:lineRule="auto"/>
        <w:jc w:val="both"/>
        <w:rPr>
          <w:rFonts w:ascii="Times New Roman" w:hAnsi="Times New Roman"/>
          <w:sz w:val="24"/>
          <w:szCs w:val="24"/>
        </w:rPr>
      </w:pPr>
    </w:p>
    <w:p w:rsidR="00666267" w:rsidRPr="006D178F" w:rsidRDefault="00666267" w:rsidP="00B73204">
      <w:pPr>
        <w:spacing w:line="360" w:lineRule="auto"/>
        <w:jc w:val="both"/>
        <w:rPr>
          <w:rFonts w:ascii="Times New Roman" w:hAnsi="Times New Roman"/>
          <w:sz w:val="24"/>
          <w:szCs w:val="24"/>
        </w:rPr>
      </w:pPr>
    </w:p>
    <w:bookmarkEnd w:id="0"/>
    <w:p w:rsidR="002D5378" w:rsidRDefault="002D5378" w:rsidP="00B73204">
      <w:pPr>
        <w:spacing w:line="360" w:lineRule="auto"/>
      </w:pPr>
      <w:r w:rsidRPr="00E77F1E">
        <w:lastRenderedPageBreak/>
        <w:t>Annex C</w:t>
      </w:r>
    </w:p>
    <w:p w:rsidR="002D5378" w:rsidRDefault="002D5378" w:rsidP="00B73204">
      <w:pPr>
        <w:spacing w:line="360" w:lineRule="auto"/>
      </w:pPr>
      <w:r>
        <w:t xml:space="preserve">Table 1   </w:t>
      </w:r>
      <w:r w:rsidRPr="00E77F1E">
        <w:t xml:space="preserve">Rosenbaum </w:t>
      </w:r>
      <w:r>
        <w:t>sensitivity analysis for crop residue management</w:t>
      </w:r>
    </w:p>
    <w:p w:rsidR="002D5378" w:rsidRDefault="002D5378" w:rsidP="00B73204">
      <w:pPr>
        <w:spacing w:line="360" w:lineRule="auto"/>
      </w:pPr>
      <w:r w:rsidRPr="002964C8">
        <w:t>Rosenbaum bounds for delta (N = 19</w:t>
      </w:r>
      <w:r>
        <w:t>5</w:t>
      </w:r>
      <w:r w:rsidRPr="002964C8">
        <w:t xml:space="preserve"> matched pairs)</w:t>
      </w:r>
    </w:p>
    <w:tbl>
      <w:tblPr>
        <w:tblW w:w="7233" w:type="dxa"/>
        <w:tblInd w:w="-5" w:type="dxa"/>
        <w:tblLook w:val="04A0" w:firstRow="1" w:lastRow="0" w:firstColumn="1" w:lastColumn="0" w:noHBand="0" w:noVBand="1"/>
      </w:tblPr>
      <w:tblGrid>
        <w:gridCol w:w="981"/>
        <w:gridCol w:w="1129"/>
        <w:gridCol w:w="1114"/>
        <w:gridCol w:w="960"/>
        <w:gridCol w:w="960"/>
        <w:gridCol w:w="1129"/>
        <w:gridCol w:w="960"/>
      </w:tblGrid>
      <w:tr w:rsidR="002D5378" w:rsidRPr="00E77F1E" w:rsidTr="006839B7">
        <w:trPr>
          <w:trHeight w:val="300"/>
        </w:trPr>
        <w:tc>
          <w:tcPr>
            <w:tcW w:w="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pPr>
            <w:r>
              <w:rPr>
                <w:szCs w:val="22"/>
              </w:rPr>
              <w:t>Gamma</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pPr>
            <w:r>
              <w:rPr>
                <w:szCs w:val="22"/>
              </w:rPr>
              <w:t>sig+</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pPr>
            <w:r>
              <w:rPr>
                <w:szCs w:val="22"/>
              </w:rPr>
              <w:t>sig-</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pPr>
            <w:r>
              <w:rPr>
                <w:szCs w:val="22"/>
              </w:rPr>
              <w:t>t-hat+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pPr>
            <w:r>
              <w:rPr>
                <w:szCs w:val="22"/>
              </w:rPr>
              <w:t>t-hat-</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pPr>
            <w:r>
              <w:rPr>
                <w:szCs w:val="22"/>
              </w:rPr>
              <w:t>CI+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pPr>
            <w:r>
              <w:rPr>
                <w:szCs w:val="22"/>
              </w:rPr>
              <w:t>CI-</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5.20E-13</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5.20E-13</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9</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11.5</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1.1</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2.80E-11</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6.30E-15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8.5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10</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6.25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12</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1.2</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7.20E-10</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1.10E-16</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10.5</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5.75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12.75</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1.3</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1.10E-08</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7.25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11</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13.25</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1.4</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1.10E-07</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6.75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11.5</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4.5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13.75</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1.5</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7.80E-07</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6.25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12</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14.25</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1.6</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4.20E-06</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12.5</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3.5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14.75</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1.7</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0.000018</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5.5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12.75</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3.25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15.25</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1.8</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0.000065</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5.25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13.25</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2.75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15.5</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1.9</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0.000196</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4.75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13.5</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2.25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16</w:t>
            </w:r>
          </w:p>
        </w:tc>
      </w:tr>
      <w:tr w:rsidR="002D5378" w:rsidRPr="00E77F1E" w:rsidTr="006839B7">
        <w:trPr>
          <w:trHeight w:val="300"/>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2</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0.000519</w:t>
            </w:r>
          </w:p>
        </w:tc>
        <w:tc>
          <w:tcPr>
            <w:tcW w:w="1114"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4.5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14</w:t>
            </w:r>
          </w:p>
        </w:tc>
        <w:tc>
          <w:tcPr>
            <w:tcW w:w="1129"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Pr="00E77F1E" w:rsidRDefault="002D5378" w:rsidP="00B73204">
            <w:pPr>
              <w:spacing w:line="360" w:lineRule="auto"/>
              <w:jc w:val="right"/>
            </w:pPr>
            <w:r>
              <w:rPr>
                <w:szCs w:val="22"/>
              </w:rPr>
              <w:t>16.25</w:t>
            </w:r>
          </w:p>
        </w:tc>
      </w:tr>
    </w:tbl>
    <w:p w:rsidR="002D5378" w:rsidRPr="00E77F1E" w:rsidRDefault="002D5378" w:rsidP="00B73204">
      <w:pPr>
        <w:spacing w:line="360" w:lineRule="auto"/>
      </w:pPr>
    </w:p>
    <w:p w:rsidR="002D5378" w:rsidRPr="00E77F1E" w:rsidRDefault="002D5378" w:rsidP="00666267">
      <w:pPr>
        <w:spacing w:after="0" w:line="360" w:lineRule="auto"/>
      </w:pPr>
      <w:r w:rsidRPr="00E77F1E">
        <w:t>* gamma - log odds of differential assignment due to unobserved</w:t>
      </w:r>
      <w:r w:rsidRPr="00E77F1E">
        <w:tab/>
        <w:t>factors</w:t>
      </w:r>
    </w:p>
    <w:p w:rsidR="002D5378" w:rsidRPr="00E77F1E" w:rsidRDefault="002D5378" w:rsidP="00666267">
      <w:pPr>
        <w:spacing w:after="0" w:line="360" w:lineRule="auto"/>
      </w:pPr>
      <w:r w:rsidRPr="00E77F1E">
        <w:t>sig+   - upper bound significance level</w:t>
      </w:r>
    </w:p>
    <w:p w:rsidR="002D5378" w:rsidRPr="00E77F1E" w:rsidRDefault="002D5378" w:rsidP="00666267">
      <w:pPr>
        <w:spacing w:after="0" w:line="360" w:lineRule="auto"/>
      </w:pPr>
      <w:r w:rsidRPr="00E77F1E">
        <w:t>sig-   - lower bound significance level</w:t>
      </w:r>
    </w:p>
    <w:p w:rsidR="002D5378" w:rsidRPr="00E77F1E" w:rsidRDefault="002D5378" w:rsidP="00666267">
      <w:pPr>
        <w:spacing w:after="0" w:line="360" w:lineRule="auto"/>
      </w:pPr>
      <w:r w:rsidRPr="00E77F1E">
        <w:t>t-hat+ - upper bound Hodges-Lehmann point estimate</w:t>
      </w:r>
    </w:p>
    <w:p w:rsidR="002D5378" w:rsidRPr="00E77F1E" w:rsidRDefault="002D5378" w:rsidP="00666267">
      <w:pPr>
        <w:spacing w:after="0" w:line="360" w:lineRule="auto"/>
      </w:pPr>
      <w:r w:rsidRPr="00E77F1E">
        <w:t>t-hat- - lower bound Hodges-Lehmann point estimate</w:t>
      </w:r>
    </w:p>
    <w:p w:rsidR="002D5378" w:rsidRPr="00E77F1E" w:rsidRDefault="002D5378" w:rsidP="00666267">
      <w:pPr>
        <w:spacing w:after="0" w:line="360" w:lineRule="auto"/>
      </w:pPr>
      <w:r w:rsidRPr="00E77F1E">
        <w:t>CI+    - upper bound confidence interval (a=  .95)</w:t>
      </w:r>
    </w:p>
    <w:p w:rsidR="002D5378" w:rsidRPr="00E77F1E" w:rsidRDefault="002D5378" w:rsidP="00666267">
      <w:pPr>
        <w:spacing w:after="0" w:line="360" w:lineRule="auto"/>
      </w:pPr>
      <w:r w:rsidRPr="00E77F1E">
        <w:t>CI-    - lower bound confidence interval (a=  .95)</w:t>
      </w:r>
    </w:p>
    <w:p w:rsidR="002D5378" w:rsidRDefault="002D5378" w:rsidP="00B73204">
      <w:pPr>
        <w:spacing w:line="360" w:lineRule="auto"/>
        <w:rPr>
          <w:rFonts w:ascii="Times New Roman" w:hAnsi="Times New Roman"/>
          <w:b/>
          <w:sz w:val="24"/>
          <w:szCs w:val="24"/>
        </w:rPr>
      </w:pPr>
    </w:p>
    <w:p w:rsidR="002D5378" w:rsidRDefault="00666267" w:rsidP="00B73204">
      <w:pPr>
        <w:spacing w:line="360" w:lineRule="auto"/>
      </w:pPr>
      <w:r>
        <w:lastRenderedPageBreak/>
        <w:t>Table 2 Rosenbaum</w:t>
      </w:r>
      <w:r w:rsidR="002D5378" w:rsidRPr="00E77F1E">
        <w:t xml:space="preserve"> </w:t>
      </w:r>
      <w:r w:rsidR="002D5378">
        <w:t xml:space="preserve">sensitivity analysis for compost  </w:t>
      </w:r>
    </w:p>
    <w:p w:rsidR="002D5378" w:rsidRDefault="002D5378" w:rsidP="00B73204">
      <w:pPr>
        <w:spacing w:line="360" w:lineRule="auto"/>
      </w:pPr>
      <w:r w:rsidRPr="00B91C2A">
        <w:t xml:space="preserve">Rosenbaum bounds for delta (N = </w:t>
      </w:r>
      <w:r>
        <w:t>195</w:t>
      </w:r>
      <w:r w:rsidRPr="00B91C2A">
        <w:t xml:space="preserve"> matched pairs)</w:t>
      </w:r>
    </w:p>
    <w:tbl>
      <w:tblPr>
        <w:tblW w:w="7127" w:type="dxa"/>
        <w:tblInd w:w="-5" w:type="dxa"/>
        <w:tblLook w:val="04A0" w:firstRow="1" w:lastRow="0" w:firstColumn="1" w:lastColumn="0" w:noHBand="0" w:noVBand="1"/>
      </w:tblPr>
      <w:tblGrid>
        <w:gridCol w:w="960"/>
        <w:gridCol w:w="1053"/>
        <w:gridCol w:w="1053"/>
        <w:gridCol w:w="1181"/>
        <w:gridCol w:w="960"/>
        <w:gridCol w:w="960"/>
        <w:gridCol w:w="960"/>
      </w:tblGrid>
      <w:tr w:rsidR="002D5378" w:rsidTr="006839B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rPr>
                <w:szCs w:val="22"/>
              </w:rPr>
            </w:pPr>
            <w:r>
              <w:rPr>
                <w:szCs w:val="22"/>
              </w:rPr>
              <w:t>Gamma</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rPr>
                <w:szCs w:val="22"/>
              </w:rPr>
            </w:pPr>
            <w:r>
              <w:rPr>
                <w:szCs w:val="22"/>
              </w:rPr>
              <w:t>sig+</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rPr>
                <w:szCs w:val="22"/>
              </w:rPr>
            </w:pPr>
            <w:r>
              <w:rPr>
                <w:szCs w:val="22"/>
              </w:rPr>
              <w:t>sig-</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rPr>
                <w:szCs w:val="22"/>
              </w:rPr>
            </w:pPr>
            <w:r>
              <w:rPr>
                <w:szCs w:val="22"/>
              </w:rPr>
              <w:t>t-hat+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rPr>
                <w:szCs w:val="22"/>
              </w:rPr>
            </w:pPr>
            <w:r>
              <w:rPr>
                <w:szCs w:val="22"/>
              </w:rPr>
              <w:t>t-hat-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rPr>
                <w:szCs w:val="22"/>
              </w:rPr>
            </w:pPr>
            <w:r>
              <w:rPr>
                <w:szCs w:val="22"/>
              </w:rPr>
              <w:t>CI+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rPr>
                <w:szCs w:val="22"/>
              </w:rPr>
            </w:pPr>
            <w:r>
              <w:rPr>
                <w:szCs w:val="22"/>
              </w:rPr>
              <w:t>CI-</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5.20E-13</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5.20E-13</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7</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11.5</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1.1</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2.80E-11</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6.30E-15</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8.5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6.25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12</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1.2</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7.20E-10</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1.10E-16</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10.5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5.75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12.75</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1.3</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1.10E-08</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7.25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13.25</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1.4</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1.10E-07</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6.75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11.5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4.5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13.75</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1.5</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7.80E-07</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6.25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12</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4</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14.25</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1.6</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4.20E-06</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3.5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14.75</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1.7</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0.000018</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5.5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12.75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3.25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15.25</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1.8</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0.000065</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5.25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13.25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2.75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15.5</w:t>
            </w:r>
          </w:p>
        </w:tc>
      </w:tr>
      <w:tr w:rsidR="002D5378"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1.9</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0.000196</w:t>
            </w:r>
          </w:p>
        </w:tc>
        <w:tc>
          <w:tcPr>
            <w:tcW w:w="1053"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0</w:t>
            </w:r>
          </w:p>
        </w:tc>
        <w:tc>
          <w:tcPr>
            <w:tcW w:w="1181"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4.75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13.5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2.25</w:t>
            </w:r>
          </w:p>
        </w:tc>
        <w:tc>
          <w:tcPr>
            <w:tcW w:w="960" w:type="dxa"/>
            <w:tcBorders>
              <w:top w:val="nil"/>
              <w:left w:val="nil"/>
              <w:bottom w:val="single" w:sz="4" w:space="0" w:color="auto"/>
              <w:right w:val="single" w:sz="4" w:space="0" w:color="auto"/>
            </w:tcBorders>
            <w:shd w:val="clear" w:color="auto" w:fill="auto"/>
            <w:noWrap/>
            <w:vAlign w:val="bottom"/>
            <w:hideMark/>
          </w:tcPr>
          <w:p w:rsidR="002D5378" w:rsidRDefault="002D5378" w:rsidP="00B73204">
            <w:pPr>
              <w:spacing w:line="360" w:lineRule="auto"/>
              <w:jc w:val="right"/>
              <w:rPr>
                <w:szCs w:val="22"/>
              </w:rPr>
            </w:pPr>
            <w:r>
              <w:rPr>
                <w:szCs w:val="22"/>
              </w:rPr>
              <w:t>16</w:t>
            </w:r>
          </w:p>
        </w:tc>
      </w:tr>
    </w:tbl>
    <w:p w:rsidR="002D5378" w:rsidRDefault="002D5378" w:rsidP="00B73204">
      <w:pPr>
        <w:spacing w:line="360" w:lineRule="auto"/>
      </w:pPr>
    </w:p>
    <w:p w:rsidR="002D5378" w:rsidRPr="00E77F1E" w:rsidRDefault="002D5378" w:rsidP="00666267">
      <w:pPr>
        <w:spacing w:after="0" w:line="360" w:lineRule="auto"/>
      </w:pPr>
      <w:r w:rsidRPr="00E77F1E">
        <w:t>* gamma - log odds of differential assignment due to unobserved</w:t>
      </w:r>
      <w:r w:rsidR="00666267">
        <w:t xml:space="preserve"> </w:t>
      </w:r>
      <w:r w:rsidRPr="00E77F1E">
        <w:t>factors</w:t>
      </w:r>
    </w:p>
    <w:p w:rsidR="002D5378" w:rsidRPr="00E77F1E" w:rsidRDefault="002D5378" w:rsidP="00666267">
      <w:pPr>
        <w:spacing w:after="0" w:line="360" w:lineRule="auto"/>
      </w:pPr>
      <w:r w:rsidRPr="00E77F1E">
        <w:t>sig+   - upper bound significance level</w:t>
      </w:r>
    </w:p>
    <w:p w:rsidR="002D5378" w:rsidRPr="00E77F1E" w:rsidRDefault="002D5378" w:rsidP="00666267">
      <w:pPr>
        <w:spacing w:after="0" w:line="360" w:lineRule="auto"/>
      </w:pPr>
      <w:r w:rsidRPr="00E77F1E">
        <w:t>sig-   - lower bound significance level</w:t>
      </w:r>
    </w:p>
    <w:p w:rsidR="002D5378" w:rsidRPr="00E77F1E" w:rsidRDefault="002D5378" w:rsidP="00666267">
      <w:pPr>
        <w:spacing w:after="0" w:line="360" w:lineRule="auto"/>
      </w:pPr>
      <w:r w:rsidRPr="00E77F1E">
        <w:t>t-hat+ - upper bound Hodges-Lehmann point estimate</w:t>
      </w:r>
    </w:p>
    <w:p w:rsidR="002D5378" w:rsidRPr="00E77F1E" w:rsidRDefault="002D5378" w:rsidP="00666267">
      <w:pPr>
        <w:spacing w:after="0" w:line="360" w:lineRule="auto"/>
      </w:pPr>
      <w:r w:rsidRPr="00E77F1E">
        <w:t>t-hat- - lower bound Hodges-Lehmann point estimate</w:t>
      </w:r>
    </w:p>
    <w:p w:rsidR="002D5378" w:rsidRPr="00E77F1E" w:rsidRDefault="002D5378" w:rsidP="00666267">
      <w:pPr>
        <w:spacing w:after="0" w:line="360" w:lineRule="auto"/>
      </w:pPr>
      <w:r w:rsidRPr="00E77F1E">
        <w:t>CI+    - upper bound confidence interval (a=  .95)</w:t>
      </w:r>
    </w:p>
    <w:p w:rsidR="002D5378" w:rsidRPr="00E77F1E" w:rsidRDefault="002D5378" w:rsidP="00666267">
      <w:pPr>
        <w:spacing w:after="0" w:line="360" w:lineRule="auto"/>
      </w:pPr>
      <w:r w:rsidRPr="00E77F1E">
        <w:t>CI-    - lower bound confidence interval (a=  .95)</w:t>
      </w:r>
    </w:p>
    <w:p w:rsidR="002D5378" w:rsidRDefault="002D5378" w:rsidP="00B73204">
      <w:pPr>
        <w:spacing w:line="360" w:lineRule="auto"/>
      </w:pPr>
    </w:p>
    <w:p w:rsidR="002D5378" w:rsidRDefault="002D5378" w:rsidP="00B73204">
      <w:pPr>
        <w:spacing w:line="360" w:lineRule="auto"/>
        <w:rPr>
          <w:rFonts w:ascii="Times New Roman" w:hAnsi="Times New Roman"/>
          <w:b/>
          <w:sz w:val="24"/>
          <w:szCs w:val="24"/>
        </w:rPr>
      </w:pPr>
    </w:p>
    <w:p w:rsidR="00666267" w:rsidRDefault="00666267" w:rsidP="00B73204">
      <w:pPr>
        <w:spacing w:line="360" w:lineRule="auto"/>
        <w:rPr>
          <w:rFonts w:ascii="Times New Roman" w:hAnsi="Times New Roman"/>
          <w:b/>
          <w:sz w:val="24"/>
          <w:szCs w:val="24"/>
        </w:rPr>
      </w:pPr>
    </w:p>
    <w:p w:rsidR="006B3D5A" w:rsidRDefault="00637700" w:rsidP="00B73204">
      <w:pPr>
        <w:spacing w:line="360" w:lineRule="auto"/>
      </w:pPr>
      <w:r>
        <w:lastRenderedPageBreak/>
        <w:t>Table 3</w:t>
      </w:r>
      <w:r w:rsidR="006B3D5A">
        <w:t xml:space="preserve">   </w:t>
      </w:r>
      <w:r w:rsidR="006B3D5A" w:rsidRPr="00E77F1E">
        <w:t xml:space="preserve">Rosenbaum </w:t>
      </w:r>
      <w:r w:rsidR="006B3D5A">
        <w:t>sensitivity analysis for  physical soil and water conservation(SWC)</w:t>
      </w:r>
    </w:p>
    <w:p w:rsidR="006B3D5A" w:rsidRDefault="006B3D5A" w:rsidP="00B73204">
      <w:pPr>
        <w:spacing w:line="360" w:lineRule="auto"/>
      </w:pPr>
      <w:r>
        <w:t>Rosenbaum bounds for delta</w:t>
      </w:r>
      <w:r>
        <w:tab/>
        <w:t xml:space="preserve">(N = 214 matched </w:t>
      </w:r>
      <w:r w:rsidRPr="002964C8">
        <w:t>pairs)</w:t>
      </w:r>
    </w:p>
    <w:tbl>
      <w:tblPr>
        <w:tblW w:w="8373" w:type="dxa"/>
        <w:tblInd w:w="-5" w:type="dxa"/>
        <w:tblLook w:val="04A0" w:firstRow="1" w:lastRow="0" w:firstColumn="1" w:lastColumn="0" w:noHBand="0" w:noVBand="1"/>
      </w:tblPr>
      <w:tblGrid>
        <w:gridCol w:w="960"/>
        <w:gridCol w:w="1380"/>
        <w:gridCol w:w="1053"/>
        <w:gridCol w:w="1053"/>
        <w:gridCol w:w="960"/>
        <w:gridCol w:w="1047"/>
        <w:gridCol w:w="960"/>
        <w:gridCol w:w="960"/>
      </w:tblGrid>
      <w:tr w:rsidR="006B3D5A" w:rsidTr="006839B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Gamma</w:t>
            </w:r>
          </w:p>
        </w:tc>
        <w:tc>
          <w:tcPr>
            <w:tcW w:w="1380" w:type="dxa"/>
            <w:tcBorders>
              <w:top w:val="single" w:sz="4" w:space="0" w:color="auto"/>
              <w:left w:val="nil"/>
              <w:bottom w:val="single" w:sz="4" w:space="0" w:color="auto"/>
              <w:right w:val="nil"/>
            </w:tcBorders>
            <w:vAlign w:val="bottom"/>
          </w:tcPr>
          <w:p w:rsidR="006B3D5A" w:rsidRDefault="006B3D5A" w:rsidP="00B73204">
            <w:pPr>
              <w:spacing w:line="360" w:lineRule="auto"/>
              <w:rPr>
                <w:szCs w:val="22"/>
              </w:rPr>
            </w:pPr>
            <w:r>
              <w:rPr>
                <w:szCs w:val="22"/>
              </w:rPr>
              <w:t>sig+</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sig-</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t-hat+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t-hat-</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CI+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CI-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Gamma</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1.20E-08</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1.20E-08</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-6.75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-6.75</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-8.75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-4.5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3.00E-10</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3.20E-07</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-7.25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-6</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-9.5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1.2</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7.00E-12</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4.40E-06</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-5.25</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-10.25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1.2</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1.3</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1.50E-13</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0.000038</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-8.5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-4.75</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-1.08E+01</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1.3</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1.4</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3.10E-15</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2.22E-04</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-9</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-4.25</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1.4</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1.5</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1.10E-16</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9.57E-04</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-9.5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-3.75</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1.5</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1.6</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0</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3.23E-03</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-3.25</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-12.25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1.6</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1.7</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0</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8.89E-03</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-10.25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1.7</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1.8</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0</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0.02075</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-10.75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-2.5</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-13</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-3.80E-07</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1.8</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1.9</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0</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0.042139</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-13.25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1.9</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w:t>
            </w:r>
          </w:p>
        </w:tc>
        <w:tc>
          <w:tcPr>
            <w:tcW w:w="1380" w:type="dxa"/>
            <w:tcBorders>
              <w:top w:val="nil"/>
              <w:left w:val="nil"/>
              <w:bottom w:val="single" w:sz="4" w:space="0" w:color="auto"/>
              <w:right w:val="nil"/>
            </w:tcBorders>
            <w:vAlign w:val="bottom"/>
          </w:tcPr>
          <w:p w:rsidR="006B3D5A" w:rsidRDefault="006B3D5A" w:rsidP="00B73204">
            <w:pPr>
              <w:spacing w:line="360" w:lineRule="auto"/>
              <w:jc w:val="right"/>
              <w:rPr>
                <w:szCs w:val="22"/>
              </w:rPr>
            </w:pPr>
            <w:r>
              <w:rPr>
                <w:szCs w:val="22"/>
              </w:rPr>
              <w:t>0</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0.07615</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-1.75</w:t>
            </w:r>
          </w:p>
        </w:tc>
        <w:tc>
          <w:tcPr>
            <w:tcW w:w="1047"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-13.75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w:t>
            </w:r>
          </w:p>
        </w:tc>
      </w:tr>
    </w:tbl>
    <w:p w:rsidR="006B3D5A" w:rsidRDefault="006B3D5A" w:rsidP="00B73204">
      <w:pPr>
        <w:spacing w:line="360" w:lineRule="auto"/>
      </w:pPr>
    </w:p>
    <w:p w:rsidR="006B3D5A" w:rsidRPr="00E77F1E" w:rsidRDefault="006B3D5A" w:rsidP="00666267">
      <w:pPr>
        <w:spacing w:after="0" w:line="360" w:lineRule="auto"/>
      </w:pPr>
      <w:r w:rsidRPr="00E77F1E">
        <w:t>* gamma - log odds of differential assignment due to unobserved</w:t>
      </w:r>
      <w:r w:rsidRPr="00E77F1E">
        <w:tab/>
        <w:t>factors</w:t>
      </w:r>
    </w:p>
    <w:p w:rsidR="006B3D5A" w:rsidRPr="00E77F1E" w:rsidRDefault="006B3D5A" w:rsidP="00666267">
      <w:pPr>
        <w:spacing w:after="0" w:line="360" w:lineRule="auto"/>
      </w:pPr>
      <w:r w:rsidRPr="00E77F1E">
        <w:t>sig+   - upper bound significance level</w:t>
      </w:r>
    </w:p>
    <w:p w:rsidR="006B3D5A" w:rsidRPr="00E77F1E" w:rsidRDefault="006B3D5A" w:rsidP="00666267">
      <w:pPr>
        <w:spacing w:after="0" w:line="360" w:lineRule="auto"/>
      </w:pPr>
      <w:r w:rsidRPr="00E77F1E">
        <w:t>sig-   - lower bound significance level</w:t>
      </w:r>
    </w:p>
    <w:p w:rsidR="006B3D5A" w:rsidRPr="00E77F1E" w:rsidRDefault="006B3D5A" w:rsidP="00666267">
      <w:pPr>
        <w:spacing w:after="0" w:line="360" w:lineRule="auto"/>
      </w:pPr>
      <w:r w:rsidRPr="00E77F1E">
        <w:t>t-hat+ - upper bound Hodges-Lehmann point estimate</w:t>
      </w:r>
    </w:p>
    <w:p w:rsidR="006B3D5A" w:rsidRPr="00E77F1E" w:rsidRDefault="006B3D5A" w:rsidP="00666267">
      <w:pPr>
        <w:spacing w:after="0" w:line="360" w:lineRule="auto"/>
      </w:pPr>
      <w:r w:rsidRPr="00E77F1E">
        <w:t>t-hat- - lower bound Hodges-Lehmann point estimate</w:t>
      </w:r>
    </w:p>
    <w:p w:rsidR="006B3D5A" w:rsidRPr="00E77F1E" w:rsidRDefault="006B3D5A" w:rsidP="00666267">
      <w:pPr>
        <w:spacing w:after="0" w:line="360" w:lineRule="auto"/>
      </w:pPr>
      <w:r w:rsidRPr="00E77F1E">
        <w:t>CI+    - upper bound confidence interval (a=  .95)</w:t>
      </w:r>
    </w:p>
    <w:p w:rsidR="006B3D5A" w:rsidRPr="00E77F1E" w:rsidRDefault="006B3D5A" w:rsidP="00666267">
      <w:pPr>
        <w:spacing w:after="0" w:line="360" w:lineRule="auto"/>
      </w:pPr>
      <w:r w:rsidRPr="00E77F1E">
        <w:t>CI-    - lower bound confidence interval (a=  .95)</w:t>
      </w:r>
    </w:p>
    <w:p w:rsidR="006B3D5A" w:rsidRDefault="006B3D5A" w:rsidP="00B73204">
      <w:pPr>
        <w:spacing w:line="360" w:lineRule="auto"/>
      </w:pPr>
      <w:r>
        <w:lastRenderedPageBreak/>
        <w:t xml:space="preserve">Table </w:t>
      </w:r>
      <w:r w:rsidR="00637700">
        <w:t>4</w:t>
      </w:r>
      <w:r>
        <w:t xml:space="preserve">   </w:t>
      </w:r>
      <w:r w:rsidRPr="00E77F1E">
        <w:t xml:space="preserve">Rosenbaum </w:t>
      </w:r>
      <w:r>
        <w:t xml:space="preserve">sensitivity analysis for agroforestry  </w:t>
      </w:r>
    </w:p>
    <w:p w:rsidR="006B3D5A" w:rsidRDefault="006B3D5A" w:rsidP="00B73204">
      <w:pPr>
        <w:spacing w:line="360" w:lineRule="auto"/>
      </w:pPr>
      <w:r>
        <w:t xml:space="preserve">  </w:t>
      </w:r>
      <w:r w:rsidRPr="00B91C2A">
        <w:t xml:space="preserve">Rosenbaum bounds for delta (N = </w:t>
      </w:r>
      <w:r>
        <w:t>53</w:t>
      </w:r>
      <w:r w:rsidRPr="00B91C2A">
        <w:t xml:space="preserve"> matched pairs)</w:t>
      </w:r>
    </w:p>
    <w:tbl>
      <w:tblPr>
        <w:tblW w:w="7127" w:type="dxa"/>
        <w:tblInd w:w="-5" w:type="dxa"/>
        <w:tblLook w:val="04A0" w:firstRow="1" w:lastRow="0" w:firstColumn="1" w:lastColumn="0" w:noHBand="0" w:noVBand="1"/>
      </w:tblPr>
      <w:tblGrid>
        <w:gridCol w:w="960"/>
        <w:gridCol w:w="1053"/>
        <w:gridCol w:w="1053"/>
        <w:gridCol w:w="1181"/>
        <w:gridCol w:w="960"/>
        <w:gridCol w:w="960"/>
        <w:gridCol w:w="960"/>
      </w:tblGrid>
      <w:tr w:rsidR="006B3D5A" w:rsidTr="006839B7">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Gamma</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sig+</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sig-</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t-hat+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t-hat-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CI+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rPr>
                <w:szCs w:val="22"/>
              </w:rPr>
            </w:pPr>
            <w:r>
              <w:rPr>
                <w:szCs w:val="22"/>
              </w:rPr>
              <w:t>CI-</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1.44E-03</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1.44E-03</w:t>
            </w:r>
          </w:p>
        </w:tc>
        <w:tc>
          <w:tcPr>
            <w:tcW w:w="1181"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7.25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7.25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12.25</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3.66E-03</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5.12E-04</w:t>
            </w:r>
          </w:p>
        </w:tc>
        <w:tc>
          <w:tcPr>
            <w:tcW w:w="1181"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6.5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8</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13</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1.2</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7.84E-03</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0.00018</w:t>
            </w:r>
          </w:p>
        </w:tc>
        <w:tc>
          <w:tcPr>
            <w:tcW w:w="1181"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6</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8.75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13.75</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1.3</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1.48E-02</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0.000063</w:t>
            </w:r>
          </w:p>
        </w:tc>
        <w:tc>
          <w:tcPr>
            <w:tcW w:w="1181"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5.5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9.5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14.5</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1.4</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2.53E-02</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0.000022</w:t>
            </w:r>
          </w:p>
        </w:tc>
        <w:tc>
          <w:tcPr>
            <w:tcW w:w="1181"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10</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-4.70E-07</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15.25</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1.5</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3.98E-02</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7.50E-06</w:t>
            </w:r>
          </w:p>
        </w:tc>
        <w:tc>
          <w:tcPr>
            <w:tcW w:w="1181"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4.25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10.5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15.75</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1.6</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0.058666</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2.60E-06</w:t>
            </w:r>
          </w:p>
        </w:tc>
        <w:tc>
          <w:tcPr>
            <w:tcW w:w="1181"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3.75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16.5</w:t>
            </w:r>
          </w:p>
        </w:tc>
      </w:tr>
      <w:tr w:rsidR="006B3D5A" w:rsidTr="006839B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1.7</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0.082017</w:t>
            </w:r>
          </w:p>
        </w:tc>
        <w:tc>
          <w:tcPr>
            <w:tcW w:w="1053"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8.80E-07</w:t>
            </w:r>
          </w:p>
        </w:tc>
        <w:tc>
          <w:tcPr>
            <w:tcW w:w="1181"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3.25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11.5</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rsidR="006B3D5A" w:rsidRDefault="006B3D5A" w:rsidP="00B73204">
            <w:pPr>
              <w:spacing w:line="360" w:lineRule="auto"/>
              <w:jc w:val="right"/>
              <w:rPr>
                <w:szCs w:val="22"/>
              </w:rPr>
            </w:pPr>
            <w:r>
              <w:rPr>
                <w:szCs w:val="22"/>
              </w:rPr>
              <w:t>17</w:t>
            </w:r>
          </w:p>
        </w:tc>
      </w:tr>
    </w:tbl>
    <w:p w:rsidR="006B3D5A" w:rsidRDefault="006B3D5A" w:rsidP="00B73204">
      <w:pPr>
        <w:spacing w:line="360" w:lineRule="auto"/>
      </w:pPr>
    </w:p>
    <w:p w:rsidR="006B3D5A" w:rsidRPr="00E77F1E" w:rsidRDefault="006B3D5A" w:rsidP="00B73204">
      <w:pPr>
        <w:spacing w:line="360" w:lineRule="auto"/>
      </w:pPr>
      <w:r w:rsidRPr="00E77F1E">
        <w:t>* gamma - log odds of differential assignment due to unobserved</w:t>
      </w:r>
      <w:r w:rsidRPr="00E77F1E">
        <w:tab/>
        <w:t>factors</w:t>
      </w:r>
    </w:p>
    <w:p w:rsidR="006B3D5A" w:rsidRPr="00E77F1E" w:rsidRDefault="006B3D5A" w:rsidP="00B73204">
      <w:pPr>
        <w:spacing w:line="360" w:lineRule="auto"/>
      </w:pPr>
      <w:r w:rsidRPr="00E77F1E">
        <w:t>sig+   - upper bound significance level</w:t>
      </w:r>
    </w:p>
    <w:p w:rsidR="006B3D5A" w:rsidRPr="00E77F1E" w:rsidRDefault="006B3D5A" w:rsidP="00B73204">
      <w:pPr>
        <w:spacing w:line="360" w:lineRule="auto"/>
      </w:pPr>
      <w:r w:rsidRPr="00E77F1E">
        <w:t>sig-   - lower bound significance level</w:t>
      </w:r>
    </w:p>
    <w:p w:rsidR="006B3D5A" w:rsidRPr="00E77F1E" w:rsidRDefault="006B3D5A" w:rsidP="00B73204">
      <w:pPr>
        <w:spacing w:line="360" w:lineRule="auto"/>
      </w:pPr>
      <w:r w:rsidRPr="00E77F1E">
        <w:t>t-hat+ - upper bound Hodges-Lehmann point estimate</w:t>
      </w:r>
    </w:p>
    <w:p w:rsidR="006B3D5A" w:rsidRPr="00E77F1E" w:rsidRDefault="006B3D5A" w:rsidP="00B73204">
      <w:pPr>
        <w:spacing w:line="360" w:lineRule="auto"/>
      </w:pPr>
      <w:r w:rsidRPr="00E77F1E">
        <w:t>t-hat- - lower bound Hodges-Lehmann point estimate</w:t>
      </w:r>
    </w:p>
    <w:p w:rsidR="006B3D5A" w:rsidRPr="00E77F1E" w:rsidRDefault="006B3D5A" w:rsidP="00B73204">
      <w:pPr>
        <w:spacing w:line="360" w:lineRule="auto"/>
      </w:pPr>
      <w:r w:rsidRPr="00E77F1E">
        <w:t>CI+    - upper bound confidence interval (a=  .95)</w:t>
      </w:r>
    </w:p>
    <w:p w:rsidR="00037576" w:rsidRPr="004A63C7" w:rsidRDefault="006B3D5A" w:rsidP="004A63C7">
      <w:pPr>
        <w:spacing w:line="360" w:lineRule="auto"/>
      </w:pPr>
      <w:r w:rsidRPr="00E77F1E">
        <w:t>CI-    - lower bound confidence interval (a=  .95)</w:t>
      </w:r>
      <w:bookmarkStart w:id="1" w:name="_GoBack"/>
      <w:bookmarkEnd w:id="1"/>
    </w:p>
    <w:p w:rsidR="00037576" w:rsidRPr="006739FA" w:rsidRDefault="00037576" w:rsidP="00B73204">
      <w:pPr>
        <w:spacing w:line="360" w:lineRule="auto"/>
      </w:pPr>
    </w:p>
    <w:sectPr w:rsidR="00037576" w:rsidRPr="006739F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120" w:rsidRDefault="00D81120" w:rsidP="006D178F">
      <w:pPr>
        <w:spacing w:after="0" w:line="240" w:lineRule="auto"/>
      </w:pPr>
      <w:r>
        <w:separator/>
      </w:r>
    </w:p>
  </w:endnote>
  <w:endnote w:type="continuationSeparator" w:id="0">
    <w:p w:rsidR="00D81120" w:rsidRDefault="00D81120" w:rsidP="006D1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enturyOSMTPro">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JdqhkxAdvTTb5929f4c">
    <w:altName w:val="Times New Roman"/>
    <w:panose1 w:val="00000000000000000000"/>
    <w:charset w:val="00"/>
    <w:family w:val="roman"/>
    <w:notTrueType/>
    <w:pitch w:val="default"/>
  </w:font>
  <w:font w:name="BgpgqpAdvTT8861b38f.I">
    <w:altName w:val="Times New Roman"/>
    <w:panose1 w:val="00000000000000000000"/>
    <w:charset w:val="00"/>
    <w:family w:val="roman"/>
    <w:notTrueType/>
    <w:pitch w:val="default"/>
  </w:font>
  <w:font w:name="CMBX10">
    <w:altName w:val="Times New Roman"/>
    <w:panose1 w:val="00000000000000000000"/>
    <w:charset w:val="00"/>
    <w:family w:val="roman"/>
    <w:notTrueType/>
    <w:pitch w:val="default"/>
  </w:font>
  <w:font w:name="CMMIB10">
    <w:altName w:val="Times New Roman"/>
    <w:panose1 w:val="00000000000000000000"/>
    <w:charset w:val="00"/>
    <w:family w:val="roman"/>
    <w:notTrueType/>
    <w:pitch w:val="default"/>
  </w:font>
  <w:font w:name="CMR7">
    <w:altName w:val="Times New Roman"/>
    <w:panose1 w:val="00000000000000000000"/>
    <w:charset w:val="00"/>
    <w:family w:val="roman"/>
    <w:notTrueType/>
    <w:pitch w:val="default"/>
  </w:font>
  <w:font w:name="cmex1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120" w:rsidRDefault="00D81120" w:rsidP="006D178F">
      <w:pPr>
        <w:spacing w:after="0" w:line="240" w:lineRule="auto"/>
      </w:pPr>
      <w:r>
        <w:separator/>
      </w:r>
    </w:p>
  </w:footnote>
  <w:footnote w:type="continuationSeparator" w:id="0">
    <w:p w:rsidR="00D81120" w:rsidRDefault="00D81120" w:rsidP="006D1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DB3" w:rsidRDefault="00CC7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DB3" w:rsidRDefault="00CC7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60E3"/>
    <w:multiLevelType w:val="hybridMultilevel"/>
    <w:tmpl w:val="61626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D46D4"/>
    <w:multiLevelType w:val="hybridMultilevel"/>
    <w:tmpl w:val="DD30F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76E8F"/>
    <w:multiLevelType w:val="hybridMultilevel"/>
    <w:tmpl w:val="7E82C5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4233F7"/>
    <w:multiLevelType w:val="hybridMultilevel"/>
    <w:tmpl w:val="E384DA24"/>
    <w:lvl w:ilvl="0" w:tplc="04090001">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rPr>
    </w:lvl>
    <w:lvl w:ilvl="2" w:tplc="04090005">
      <w:start w:val="1"/>
      <w:numFmt w:val="bullet"/>
      <w:lvlText w:val=""/>
      <w:lvlJc w:val="left"/>
      <w:pPr>
        <w:ind w:left="2160" w:hanging="360"/>
      </w:pPr>
      <w:rPr>
        <w:rFonts w:ascii="Wingdings" w:hAnsi="Wingdings"/>
      </w:rPr>
    </w:lvl>
    <w:lvl w:ilvl="3" w:tplc="04090001">
      <w:start w:val="1"/>
      <w:numFmt w:val="bullet"/>
      <w:lvlText w:val=""/>
      <w:lvlJc w:val="left"/>
      <w:pPr>
        <w:ind w:left="2880" w:hanging="360"/>
      </w:pPr>
      <w:rPr>
        <w:rFonts w:ascii="Symbol" w:hAnsi="Symbol"/>
      </w:rPr>
    </w:lvl>
    <w:lvl w:ilvl="4" w:tplc="04090003">
      <w:start w:val="1"/>
      <w:numFmt w:val="bullet"/>
      <w:lvlText w:val="o"/>
      <w:lvlJc w:val="left"/>
      <w:pPr>
        <w:ind w:left="3600" w:hanging="360"/>
      </w:pPr>
      <w:rPr>
        <w:rFonts w:ascii="Courier New" w:hAnsi="Courier New"/>
      </w:rPr>
    </w:lvl>
    <w:lvl w:ilvl="5" w:tplc="04090005">
      <w:start w:val="1"/>
      <w:numFmt w:val="bullet"/>
      <w:lvlText w:val=""/>
      <w:lvlJc w:val="left"/>
      <w:pPr>
        <w:ind w:left="4320" w:hanging="360"/>
      </w:pPr>
      <w:rPr>
        <w:rFonts w:ascii="Wingdings" w:hAnsi="Wingdings"/>
      </w:rPr>
    </w:lvl>
    <w:lvl w:ilvl="6" w:tplc="04090001">
      <w:start w:val="1"/>
      <w:numFmt w:val="bullet"/>
      <w:lvlText w:val=""/>
      <w:lvlJc w:val="left"/>
      <w:pPr>
        <w:ind w:left="5040" w:hanging="360"/>
      </w:pPr>
      <w:rPr>
        <w:rFonts w:ascii="Symbol" w:hAnsi="Symbol"/>
      </w:rPr>
    </w:lvl>
    <w:lvl w:ilvl="7" w:tplc="04090003">
      <w:start w:val="1"/>
      <w:numFmt w:val="bullet"/>
      <w:lvlText w:val="o"/>
      <w:lvlJc w:val="left"/>
      <w:pPr>
        <w:ind w:left="5760" w:hanging="360"/>
      </w:pPr>
      <w:rPr>
        <w:rFonts w:ascii="Courier New" w:hAnsi="Courier New"/>
      </w:rPr>
    </w:lvl>
    <w:lvl w:ilvl="8" w:tplc="04090005">
      <w:start w:val="1"/>
      <w:numFmt w:val="bullet"/>
      <w:lvlText w:val=""/>
      <w:lvlJc w:val="left"/>
      <w:pPr>
        <w:ind w:left="6480" w:hanging="360"/>
      </w:pPr>
      <w:rPr>
        <w:rFonts w:ascii="Wingdings" w:hAnsi="Wingdings"/>
      </w:rPr>
    </w:lvl>
  </w:abstractNum>
  <w:abstractNum w:abstractNumId="4" w15:restartNumberingAfterBreak="0">
    <w:nsid w:val="15F33C20"/>
    <w:multiLevelType w:val="hybridMultilevel"/>
    <w:tmpl w:val="4DF2BEF2"/>
    <w:lvl w:ilvl="0" w:tplc="C504AC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9161FF"/>
    <w:multiLevelType w:val="hybridMultilevel"/>
    <w:tmpl w:val="9CFCEA9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93853"/>
    <w:multiLevelType w:val="hybridMultilevel"/>
    <w:tmpl w:val="F78419A8"/>
    <w:lvl w:ilvl="0" w:tplc="C504AC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68770D"/>
    <w:multiLevelType w:val="multilevel"/>
    <w:tmpl w:val="6BF89B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351678C"/>
    <w:multiLevelType w:val="hybridMultilevel"/>
    <w:tmpl w:val="6BC03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F4085D"/>
    <w:multiLevelType w:val="hybridMultilevel"/>
    <w:tmpl w:val="FAB21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6EC2B5A"/>
    <w:multiLevelType w:val="hybridMultilevel"/>
    <w:tmpl w:val="981AB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B9B6B68"/>
    <w:multiLevelType w:val="hybridMultilevel"/>
    <w:tmpl w:val="93E891EE"/>
    <w:lvl w:ilvl="0" w:tplc="6AC43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EB4271"/>
    <w:multiLevelType w:val="hybridMultilevel"/>
    <w:tmpl w:val="3C1C66E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8F0C26"/>
    <w:multiLevelType w:val="hybridMultilevel"/>
    <w:tmpl w:val="0B925036"/>
    <w:lvl w:ilvl="0" w:tplc="880CC778">
      <w:start w:val="1"/>
      <w:numFmt w:val="bullet"/>
      <w:lvlText w:val=""/>
      <w:lvlJc w:val="left"/>
      <w:pPr>
        <w:ind w:left="720" w:hanging="360"/>
      </w:pPr>
      <w:rPr>
        <w:rFonts w:ascii="Wingdings" w:hAnsi="Wingdings"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758386A"/>
    <w:multiLevelType w:val="hybridMultilevel"/>
    <w:tmpl w:val="EB48B7E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48F35F65"/>
    <w:multiLevelType w:val="hybridMultilevel"/>
    <w:tmpl w:val="A26A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C7753"/>
    <w:multiLevelType w:val="hybridMultilevel"/>
    <w:tmpl w:val="D7B6FDB8"/>
    <w:lvl w:ilvl="0" w:tplc="04090011">
      <w:start w:val="1"/>
      <w:numFmt w:val="decimal"/>
      <w:lvlText w:val="%1)"/>
      <w:lvlJc w:val="left"/>
      <w:pPr>
        <w:ind w:left="99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3703978"/>
    <w:multiLevelType w:val="hybridMultilevel"/>
    <w:tmpl w:val="E3166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3A6062"/>
    <w:multiLevelType w:val="hybridMultilevel"/>
    <w:tmpl w:val="967A2F1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64253962"/>
    <w:multiLevelType w:val="hybridMultilevel"/>
    <w:tmpl w:val="5FDE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E82CF3"/>
    <w:multiLevelType w:val="hybridMultilevel"/>
    <w:tmpl w:val="546069B4"/>
    <w:lvl w:ilvl="0" w:tplc="C504AC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F5C7382"/>
    <w:multiLevelType w:val="hybridMultilevel"/>
    <w:tmpl w:val="2D265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06F2719"/>
    <w:multiLevelType w:val="hybridMultilevel"/>
    <w:tmpl w:val="3D6C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C328B5"/>
    <w:multiLevelType w:val="hybridMultilevel"/>
    <w:tmpl w:val="DF6CB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12"/>
  </w:num>
  <w:num w:numId="7">
    <w:abstractNumId w:val="2"/>
  </w:num>
  <w:num w:numId="8">
    <w:abstractNumId w:val="0"/>
  </w:num>
  <w:num w:numId="9">
    <w:abstractNumId w:val="16"/>
  </w:num>
  <w:num w:numId="10">
    <w:abstractNumId w:val="22"/>
  </w:num>
  <w:num w:numId="11">
    <w:abstractNumId w:val="19"/>
  </w:num>
  <w:num w:numId="12">
    <w:abstractNumId w:val="1"/>
  </w:num>
  <w:num w:numId="13">
    <w:abstractNumId w:val="8"/>
  </w:num>
  <w:num w:numId="14">
    <w:abstractNumId w:val="17"/>
  </w:num>
  <w:num w:numId="15">
    <w:abstractNumId w:val="15"/>
  </w:num>
  <w:num w:numId="16">
    <w:abstractNumId w:val="11"/>
  </w:num>
  <w:num w:numId="17">
    <w:abstractNumId w:val="13"/>
  </w:num>
  <w:num w:numId="18">
    <w:abstractNumId w:val="18"/>
  </w:num>
  <w:num w:numId="19">
    <w:abstractNumId w:val="4"/>
  </w:num>
  <w:num w:numId="20">
    <w:abstractNumId w:val="6"/>
  </w:num>
  <w:num w:numId="21">
    <w:abstractNumId w:val="9"/>
  </w:num>
  <w:num w:numId="22">
    <w:abstractNumId w:val="20"/>
  </w:num>
  <w:num w:numId="23">
    <w:abstractNumId w:val="23"/>
  </w:num>
  <w:num w:numId="24">
    <w:abstractNumId w:val="2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464"/>
    <w:rsid w:val="0000011E"/>
    <w:rsid w:val="00006403"/>
    <w:rsid w:val="00035046"/>
    <w:rsid w:val="00037576"/>
    <w:rsid w:val="00037C2A"/>
    <w:rsid w:val="00055382"/>
    <w:rsid w:val="00056E42"/>
    <w:rsid w:val="00085039"/>
    <w:rsid w:val="000A6C41"/>
    <w:rsid w:val="000B73F9"/>
    <w:rsid w:val="000C4F87"/>
    <w:rsid w:val="000D148E"/>
    <w:rsid w:val="000D4D83"/>
    <w:rsid w:val="000D61AE"/>
    <w:rsid w:val="000E35BC"/>
    <w:rsid w:val="000E3787"/>
    <w:rsid w:val="000F51E4"/>
    <w:rsid w:val="00101C50"/>
    <w:rsid w:val="00103348"/>
    <w:rsid w:val="0011320D"/>
    <w:rsid w:val="001151F5"/>
    <w:rsid w:val="0013019C"/>
    <w:rsid w:val="00135AD3"/>
    <w:rsid w:val="00142BC0"/>
    <w:rsid w:val="00153E21"/>
    <w:rsid w:val="00162970"/>
    <w:rsid w:val="0017157B"/>
    <w:rsid w:val="0018357C"/>
    <w:rsid w:val="001973A3"/>
    <w:rsid w:val="001A4527"/>
    <w:rsid w:val="001B1300"/>
    <w:rsid w:val="001B573C"/>
    <w:rsid w:val="001B6174"/>
    <w:rsid w:val="001C745E"/>
    <w:rsid w:val="001D24C4"/>
    <w:rsid w:val="001D3A2D"/>
    <w:rsid w:val="001D6EBB"/>
    <w:rsid w:val="002142F5"/>
    <w:rsid w:val="00217AB9"/>
    <w:rsid w:val="0023631C"/>
    <w:rsid w:val="002718B7"/>
    <w:rsid w:val="00274C05"/>
    <w:rsid w:val="002870E9"/>
    <w:rsid w:val="00291EFF"/>
    <w:rsid w:val="002A4121"/>
    <w:rsid w:val="002B1DEC"/>
    <w:rsid w:val="002C2432"/>
    <w:rsid w:val="002C512E"/>
    <w:rsid w:val="002D4E30"/>
    <w:rsid w:val="002D5378"/>
    <w:rsid w:val="002E03B0"/>
    <w:rsid w:val="002F46F0"/>
    <w:rsid w:val="00311490"/>
    <w:rsid w:val="00335139"/>
    <w:rsid w:val="003406C9"/>
    <w:rsid w:val="00347B95"/>
    <w:rsid w:val="0035293F"/>
    <w:rsid w:val="00360611"/>
    <w:rsid w:val="00363ECB"/>
    <w:rsid w:val="00366330"/>
    <w:rsid w:val="00367809"/>
    <w:rsid w:val="00371565"/>
    <w:rsid w:val="00374546"/>
    <w:rsid w:val="00377915"/>
    <w:rsid w:val="00396CF9"/>
    <w:rsid w:val="003A7578"/>
    <w:rsid w:val="003B75C8"/>
    <w:rsid w:val="003C3B67"/>
    <w:rsid w:val="003C7464"/>
    <w:rsid w:val="003D729E"/>
    <w:rsid w:val="003D7E86"/>
    <w:rsid w:val="00411D28"/>
    <w:rsid w:val="004126B3"/>
    <w:rsid w:val="00415300"/>
    <w:rsid w:val="00432A57"/>
    <w:rsid w:val="00451A8D"/>
    <w:rsid w:val="004523DC"/>
    <w:rsid w:val="00462220"/>
    <w:rsid w:val="00472062"/>
    <w:rsid w:val="00477E30"/>
    <w:rsid w:val="00483DD9"/>
    <w:rsid w:val="0048713E"/>
    <w:rsid w:val="004A4D82"/>
    <w:rsid w:val="004A63C7"/>
    <w:rsid w:val="004A6F06"/>
    <w:rsid w:val="004B5584"/>
    <w:rsid w:val="004D5ADC"/>
    <w:rsid w:val="004E4A76"/>
    <w:rsid w:val="004E4AD4"/>
    <w:rsid w:val="004E5177"/>
    <w:rsid w:val="004F6C58"/>
    <w:rsid w:val="005029FC"/>
    <w:rsid w:val="0051183F"/>
    <w:rsid w:val="00512A67"/>
    <w:rsid w:val="00513922"/>
    <w:rsid w:val="00543CE6"/>
    <w:rsid w:val="00553451"/>
    <w:rsid w:val="00576E63"/>
    <w:rsid w:val="005955D3"/>
    <w:rsid w:val="005B084A"/>
    <w:rsid w:val="005E03E1"/>
    <w:rsid w:val="005E290B"/>
    <w:rsid w:val="005F33CC"/>
    <w:rsid w:val="006007E8"/>
    <w:rsid w:val="00600FA1"/>
    <w:rsid w:val="00605745"/>
    <w:rsid w:val="00605D4A"/>
    <w:rsid w:val="00617845"/>
    <w:rsid w:val="00621D50"/>
    <w:rsid w:val="00622EDA"/>
    <w:rsid w:val="00637700"/>
    <w:rsid w:val="0064794C"/>
    <w:rsid w:val="0065490B"/>
    <w:rsid w:val="00657F0E"/>
    <w:rsid w:val="00664F08"/>
    <w:rsid w:val="00666267"/>
    <w:rsid w:val="00667418"/>
    <w:rsid w:val="0067029E"/>
    <w:rsid w:val="00670EC7"/>
    <w:rsid w:val="006719EC"/>
    <w:rsid w:val="006739FA"/>
    <w:rsid w:val="00676013"/>
    <w:rsid w:val="0068018F"/>
    <w:rsid w:val="00683529"/>
    <w:rsid w:val="006839B7"/>
    <w:rsid w:val="0069040C"/>
    <w:rsid w:val="006936CD"/>
    <w:rsid w:val="006A06B5"/>
    <w:rsid w:val="006A5206"/>
    <w:rsid w:val="006B3D5A"/>
    <w:rsid w:val="006B5EAA"/>
    <w:rsid w:val="006C2E72"/>
    <w:rsid w:val="006C4390"/>
    <w:rsid w:val="006C666E"/>
    <w:rsid w:val="006D0AE1"/>
    <w:rsid w:val="006D178F"/>
    <w:rsid w:val="006E7B12"/>
    <w:rsid w:val="006F4AEB"/>
    <w:rsid w:val="00721F99"/>
    <w:rsid w:val="00726A39"/>
    <w:rsid w:val="00726FFF"/>
    <w:rsid w:val="007319CB"/>
    <w:rsid w:val="00745030"/>
    <w:rsid w:val="00745A3C"/>
    <w:rsid w:val="00746C10"/>
    <w:rsid w:val="007470FE"/>
    <w:rsid w:val="0075172D"/>
    <w:rsid w:val="00763035"/>
    <w:rsid w:val="00773383"/>
    <w:rsid w:val="00797A9F"/>
    <w:rsid w:val="007B09DE"/>
    <w:rsid w:val="007D3500"/>
    <w:rsid w:val="007E0705"/>
    <w:rsid w:val="007E56F7"/>
    <w:rsid w:val="007E5DC6"/>
    <w:rsid w:val="007F5004"/>
    <w:rsid w:val="0080551C"/>
    <w:rsid w:val="00811008"/>
    <w:rsid w:val="008111CE"/>
    <w:rsid w:val="00811208"/>
    <w:rsid w:val="00821619"/>
    <w:rsid w:val="008616FC"/>
    <w:rsid w:val="00872D73"/>
    <w:rsid w:val="00874151"/>
    <w:rsid w:val="0089797E"/>
    <w:rsid w:val="008A58CC"/>
    <w:rsid w:val="008B5644"/>
    <w:rsid w:val="008B7750"/>
    <w:rsid w:val="008C1F26"/>
    <w:rsid w:val="008C38E6"/>
    <w:rsid w:val="008D247C"/>
    <w:rsid w:val="008D2540"/>
    <w:rsid w:val="008E4220"/>
    <w:rsid w:val="008E57B4"/>
    <w:rsid w:val="008F0451"/>
    <w:rsid w:val="00907D26"/>
    <w:rsid w:val="00912B3A"/>
    <w:rsid w:val="00915D6F"/>
    <w:rsid w:val="009244AF"/>
    <w:rsid w:val="009338C3"/>
    <w:rsid w:val="00936F54"/>
    <w:rsid w:val="00946816"/>
    <w:rsid w:val="00946F18"/>
    <w:rsid w:val="009551EE"/>
    <w:rsid w:val="0095527B"/>
    <w:rsid w:val="0096021D"/>
    <w:rsid w:val="00961436"/>
    <w:rsid w:val="00980761"/>
    <w:rsid w:val="009B0011"/>
    <w:rsid w:val="009B0118"/>
    <w:rsid w:val="009C59B4"/>
    <w:rsid w:val="009D423C"/>
    <w:rsid w:val="009D58F3"/>
    <w:rsid w:val="009D6874"/>
    <w:rsid w:val="009E784A"/>
    <w:rsid w:val="00A158C2"/>
    <w:rsid w:val="00A269A9"/>
    <w:rsid w:val="00A333B8"/>
    <w:rsid w:val="00A37EA2"/>
    <w:rsid w:val="00A47A51"/>
    <w:rsid w:val="00A50975"/>
    <w:rsid w:val="00A74E09"/>
    <w:rsid w:val="00A86385"/>
    <w:rsid w:val="00A8799F"/>
    <w:rsid w:val="00AA0C31"/>
    <w:rsid w:val="00AB1DB2"/>
    <w:rsid w:val="00AB559D"/>
    <w:rsid w:val="00AD6A49"/>
    <w:rsid w:val="00AF10EC"/>
    <w:rsid w:val="00AF1EC9"/>
    <w:rsid w:val="00AF45DE"/>
    <w:rsid w:val="00B13373"/>
    <w:rsid w:val="00B225B1"/>
    <w:rsid w:val="00B24A35"/>
    <w:rsid w:val="00B308DC"/>
    <w:rsid w:val="00B47C43"/>
    <w:rsid w:val="00B55DBF"/>
    <w:rsid w:val="00B6409D"/>
    <w:rsid w:val="00B72540"/>
    <w:rsid w:val="00B72730"/>
    <w:rsid w:val="00B73204"/>
    <w:rsid w:val="00BB0FC2"/>
    <w:rsid w:val="00BD311A"/>
    <w:rsid w:val="00BF283C"/>
    <w:rsid w:val="00C35197"/>
    <w:rsid w:val="00C53170"/>
    <w:rsid w:val="00C5412F"/>
    <w:rsid w:val="00C76522"/>
    <w:rsid w:val="00C8348C"/>
    <w:rsid w:val="00C85923"/>
    <w:rsid w:val="00C87D4C"/>
    <w:rsid w:val="00C91ADB"/>
    <w:rsid w:val="00CB053B"/>
    <w:rsid w:val="00CC7DB3"/>
    <w:rsid w:val="00CF13FB"/>
    <w:rsid w:val="00CF1499"/>
    <w:rsid w:val="00CF3F45"/>
    <w:rsid w:val="00D05AFE"/>
    <w:rsid w:val="00D15AC5"/>
    <w:rsid w:val="00D16175"/>
    <w:rsid w:val="00D17372"/>
    <w:rsid w:val="00D225B2"/>
    <w:rsid w:val="00D2415C"/>
    <w:rsid w:val="00D25785"/>
    <w:rsid w:val="00D334E3"/>
    <w:rsid w:val="00D42DAD"/>
    <w:rsid w:val="00D5152B"/>
    <w:rsid w:val="00D57709"/>
    <w:rsid w:val="00D67789"/>
    <w:rsid w:val="00D67889"/>
    <w:rsid w:val="00D71077"/>
    <w:rsid w:val="00D81120"/>
    <w:rsid w:val="00D83C5B"/>
    <w:rsid w:val="00D91A1E"/>
    <w:rsid w:val="00D925A7"/>
    <w:rsid w:val="00DB4F08"/>
    <w:rsid w:val="00DC067A"/>
    <w:rsid w:val="00DD28DB"/>
    <w:rsid w:val="00DE11A0"/>
    <w:rsid w:val="00DE3DAD"/>
    <w:rsid w:val="00DF301F"/>
    <w:rsid w:val="00DF43DC"/>
    <w:rsid w:val="00DF5A6C"/>
    <w:rsid w:val="00E10385"/>
    <w:rsid w:val="00E11F94"/>
    <w:rsid w:val="00E30BDA"/>
    <w:rsid w:val="00E72200"/>
    <w:rsid w:val="00E7408B"/>
    <w:rsid w:val="00E8390A"/>
    <w:rsid w:val="00E9445E"/>
    <w:rsid w:val="00E960A1"/>
    <w:rsid w:val="00E96F18"/>
    <w:rsid w:val="00E97FD8"/>
    <w:rsid w:val="00EA0468"/>
    <w:rsid w:val="00ED34D7"/>
    <w:rsid w:val="00ED52CD"/>
    <w:rsid w:val="00EE6997"/>
    <w:rsid w:val="00EF0F91"/>
    <w:rsid w:val="00EF3DDB"/>
    <w:rsid w:val="00EF52BE"/>
    <w:rsid w:val="00F00AA0"/>
    <w:rsid w:val="00F063A5"/>
    <w:rsid w:val="00F07F95"/>
    <w:rsid w:val="00F14F69"/>
    <w:rsid w:val="00F164C9"/>
    <w:rsid w:val="00F5130B"/>
    <w:rsid w:val="00F53EBA"/>
    <w:rsid w:val="00F55B08"/>
    <w:rsid w:val="00F55C1B"/>
    <w:rsid w:val="00F60316"/>
    <w:rsid w:val="00F673B2"/>
    <w:rsid w:val="00F719C4"/>
    <w:rsid w:val="00F82AB1"/>
    <w:rsid w:val="00F872C7"/>
    <w:rsid w:val="00F904BB"/>
    <w:rsid w:val="00FB57CD"/>
    <w:rsid w:val="00FB6EE3"/>
    <w:rsid w:val="00FC5589"/>
    <w:rsid w:val="00FD3604"/>
    <w:rsid w:val="00FE06A8"/>
    <w:rsid w:val="00FE3B15"/>
    <w:rsid w:val="00FF2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0E1E2"/>
  <w15:docId w15:val="{2E0D0587-3257-4829-B26F-70C3E7EB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378"/>
    <w:pPr>
      <w:pBdr>
        <w:top w:val="none" w:sz="0" w:space="0" w:color="000000"/>
        <w:left w:val="none" w:sz="0" w:space="0" w:color="000000"/>
        <w:bottom w:val="none" w:sz="0" w:space="0" w:color="000000"/>
        <w:right w:val="none" w:sz="0" w:space="0" w:color="000000"/>
      </w:pBdr>
      <w:spacing w:after="200" w:line="276" w:lineRule="auto"/>
    </w:pPr>
    <w:rPr>
      <w:rFonts w:ascii="Calibri" w:eastAsia="Times New Roman" w:hAnsi="Calibri" w:cs="Times New Roman"/>
      <w:color w:val="000000"/>
      <w:szCs w:val="20"/>
    </w:rPr>
  </w:style>
  <w:style w:type="paragraph" w:styleId="Heading1">
    <w:name w:val="heading 1"/>
    <w:basedOn w:val="Normal"/>
    <w:next w:val="Normal"/>
    <w:link w:val="Heading1Char"/>
    <w:uiPriority w:val="9"/>
    <w:qFormat/>
    <w:rsid w:val="00A509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09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3C7464"/>
    <w:pPr>
      <w:keepNext/>
      <w:keepLines/>
      <w:spacing w:before="200" w:after="0" w:line="240" w:lineRule="auto"/>
      <w:outlineLvl w:val="2"/>
    </w:pPr>
    <w:rPr>
      <w:rFonts w:ascii="Times New Roman" w:hAnsi="Times New Roman"/>
      <w:b/>
      <w:i/>
      <w:sz w:val="24"/>
    </w:rPr>
  </w:style>
  <w:style w:type="paragraph" w:styleId="Heading4">
    <w:name w:val="heading 4"/>
    <w:basedOn w:val="Normal"/>
    <w:next w:val="Normal"/>
    <w:link w:val="Heading4Char"/>
    <w:uiPriority w:val="9"/>
    <w:semiHidden/>
    <w:unhideWhenUsed/>
    <w:qFormat/>
    <w:rsid w:val="006D178F"/>
    <w:pPr>
      <w:keepNext/>
      <w:keepLines/>
      <w:pBdr>
        <w:top w:val="none" w:sz="0" w:space="0" w:color="auto"/>
        <w:left w:val="none" w:sz="0" w:space="0" w:color="auto"/>
        <w:bottom w:val="none" w:sz="0" w:space="0" w:color="auto"/>
        <w:right w:val="none" w:sz="0" w:space="0" w:color="auto"/>
      </w:pBdr>
      <w:spacing w:before="40" w:after="0" w:line="256" w:lineRule="auto"/>
      <w:outlineLvl w:val="3"/>
    </w:pPr>
    <w:rPr>
      <w:rFonts w:asciiTheme="majorHAnsi" w:eastAsiaTheme="majorEastAsia" w:hAnsiTheme="majorHAnsi" w:cstheme="majorBidi"/>
      <w:i/>
      <w:iCs/>
      <w:color w:val="2E74B5"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97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5097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C7464"/>
    <w:rPr>
      <w:rFonts w:ascii="Times New Roman" w:eastAsia="Times New Roman" w:hAnsi="Times New Roman" w:cs="Times New Roman"/>
      <w:b/>
      <w:i/>
      <w:color w:val="000000"/>
      <w:sz w:val="24"/>
      <w:szCs w:val="20"/>
    </w:rPr>
  </w:style>
  <w:style w:type="character" w:customStyle="1" w:styleId="Heading4Char">
    <w:name w:val="Heading 4 Char"/>
    <w:basedOn w:val="DefaultParagraphFont"/>
    <w:link w:val="Heading4"/>
    <w:uiPriority w:val="9"/>
    <w:semiHidden/>
    <w:rsid w:val="006D178F"/>
    <w:rPr>
      <w:rFonts w:asciiTheme="majorHAnsi" w:eastAsiaTheme="majorEastAsia" w:hAnsiTheme="majorHAnsi" w:cstheme="majorBidi"/>
      <w:i/>
      <w:iCs/>
      <w:color w:val="2E74B5" w:themeColor="accent1" w:themeShade="BF"/>
    </w:rPr>
  </w:style>
  <w:style w:type="character" w:customStyle="1" w:styleId="fontstyle01">
    <w:name w:val="fontstyle01"/>
    <w:basedOn w:val="DefaultParagraphFont"/>
    <w:rsid w:val="003C7464"/>
    <w:rPr>
      <w:rFonts w:ascii="Times New Roman" w:hAnsi="Times New Roman"/>
      <w:b/>
      <w:i w:val="0"/>
      <w:color w:val="000000"/>
      <w:sz w:val="28"/>
    </w:rPr>
  </w:style>
  <w:style w:type="table" w:styleId="TableGrid">
    <w:name w:val="Table Grid"/>
    <w:basedOn w:val="TableNormal"/>
    <w:uiPriority w:val="59"/>
    <w:rsid w:val="003C7464"/>
    <w:pPr>
      <w:pBdr>
        <w:top w:val="none" w:sz="0" w:space="0" w:color="000000"/>
        <w:left w:val="none" w:sz="0" w:space="0" w:color="000000"/>
        <w:bottom w:val="none" w:sz="0" w:space="0" w:color="000000"/>
        <w:right w:val="none" w:sz="0" w:space="0" w:color="000000"/>
      </w:pBdr>
      <w:spacing w:after="0" w:line="240" w:lineRule="auto"/>
    </w:pPr>
    <w:rPr>
      <w:rFonts w:ascii="Calibri" w:eastAsia="Times New Roman" w:hAnsi="Calibri"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3C7464"/>
    <w:pPr>
      <w:pBdr>
        <w:top w:val="none" w:sz="0" w:space="0" w:color="000000"/>
        <w:left w:val="none" w:sz="0" w:space="0" w:color="000000"/>
        <w:bottom w:val="none" w:sz="0" w:space="0" w:color="000000"/>
        <w:right w:val="none" w:sz="0" w:space="0" w:color="000000"/>
      </w:pBdr>
      <w:spacing w:after="0" w:line="240" w:lineRule="auto"/>
    </w:pPr>
    <w:rPr>
      <w:rFonts w:ascii="Times New Roman" w:eastAsia="Times New Roman" w:hAnsi="Times New Roman" w:cs="Times New Roman"/>
      <w:color w:val="000000"/>
      <w:sz w:val="24"/>
      <w:szCs w:val="20"/>
    </w:rPr>
  </w:style>
  <w:style w:type="paragraph" w:styleId="ListParagraph">
    <w:name w:val="List Paragraph"/>
    <w:aliases w:val="small normal,Numbered List Paragraph,List Paragraph1,Bullets,List Paragraph (numbered (a)),References,WB List Paragraph,Indent Paragraph,Heading II,Evidence on Demand bullet points"/>
    <w:basedOn w:val="Normal"/>
    <w:link w:val="ListParagraphChar"/>
    <w:uiPriority w:val="34"/>
    <w:qFormat/>
    <w:rsid w:val="003C7464"/>
    <w:pPr>
      <w:ind w:left="720"/>
      <w:contextualSpacing/>
    </w:pPr>
  </w:style>
  <w:style w:type="character" w:customStyle="1" w:styleId="ListParagraphChar">
    <w:name w:val="List Paragraph Char"/>
    <w:aliases w:val="small normal Char,Numbered List Paragraph Char,List Paragraph1 Char,Bullets Char,List Paragraph (numbered (a)) Char,References Char,WB List Paragraph Char,Indent Paragraph Char,Heading II Char,Evidence on Demand bullet points Char"/>
    <w:link w:val="ListParagraph"/>
    <w:uiPriority w:val="34"/>
    <w:rsid w:val="003C7464"/>
    <w:rPr>
      <w:rFonts w:ascii="Calibri" w:eastAsia="Times New Roman" w:hAnsi="Calibri" w:cs="Times New Roman"/>
      <w:color w:val="000000"/>
      <w:szCs w:val="20"/>
    </w:rPr>
  </w:style>
  <w:style w:type="paragraph" w:styleId="NormalWeb">
    <w:name w:val="Normal (Web)"/>
    <w:basedOn w:val="Normal"/>
    <w:uiPriority w:val="99"/>
    <w:rsid w:val="003C7464"/>
    <w:pPr>
      <w:spacing w:before="100" w:beforeAutospacing="1" w:after="100" w:afterAutospacing="1" w:line="240" w:lineRule="auto"/>
    </w:pPr>
    <w:rPr>
      <w:rFonts w:ascii="Times New Roman" w:hAnsi="Times New Roman"/>
      <w:sz w:val="24"/>
    </w:rPr>
  </w:style>
  <w:style w:type="paragraph" w:styleId="Caption">
    <w:name w:val="caption"/>
    <w:basedOn w:val="Normal"/>
    <w:next w:val="Normal"/>
    <w:uiPriority w:val="35"/>
    <w:qFormat/>
    <w:rsid w:val="00667418"/>
    <w:pPr>
      <w:spacing w:line="240" w:lineRule="auto"/>
    </w:pPr>
    <w:rPr>
      <w:b/>
      <w:color w:val="4F81BD"/>
      <w:sz w:val="18"/>
    </w:rPr>
  </w:style>
  <w:style w:type="character" w:customStyle="1" w:styleId="fontstyle21">
    <w:name w:val="fontstyle21"/>
    <w:basedOn w:val="DefaultParagraphFont"/>
    <w:rsid w:val="006D178F"/>
    <w:rPr>
      <w:rFonts w:ascii="Times New Roman" w:hAnsi="Times New Roman" w:cs="Times New Roman" w:hint="default"/>
      <w:b w:val="0"/>
      <w:bCs w:val="0"/>
      <w:i w:val="0"/>
      <w:iCs w:val="0"/>
      <w:color w:val="000000"/>
      <w:sz w:val="24"/>
      <w:szCs w:val="24"/>
    </w:rPr>
  </w:style>
  <w:style w:type="character" w:customStyle="1" w:styleId="CommentTextChar">
    <w:name w:val="Comment Text Char"/>
    <w:basedOn w:val="DefaultParagraphFont"/>
    <w:link w:val="CommentText"/>
    <w:uiPriority w:val="99"/>
    <w:semiHidden/>
    <w:rsid w:val="006D178F"/>
    <w:rPr>
      <w:rFonts w:eastAsia="Batang"/>
      <w:sz w:val="20"/>
      <w:szCs w:val="20"/>
    </w:rPr>
  </w:style>
  <w:style w:type="paragraph" w:styleId="CommentText">
    <w:name w:val="annotation text"/>
    <w:basedOn w:val="Normal"/>
    <w:link w:val="CommentTextChar"/>
    <w:uiPriority w:val="99"/>
    <w:semiHidden/>
    <w:unhideWhenUsed/>
    <w:rsid w:val="006D178F"/>
    <w:pPr>
      <w:pBdr>
        <w:top w:val="none" w:sz="0" w:space="0" w:color="auto"/>
        <w:left w:val="none" w:sz="0" w:space="0" w:color="auto"/>
        <w:bottom w:val="none" w:sz="0" w:space="0" w:color="auto"/>
        <w:right w:val="none" w:sz="0" w:space="0" w:color="auto"/>
      </w:pBdr>
      <w:spacing w:after="160" w:line="240" w:lineRule="auto"/>
    </w:pPr>
    <w:rPr>
      <w:rFonts w:asciiTheme="minorHAnsi" w:eastAsia="Batang" w:hAnsiTheme="minorHAnsi" w:cstheme="minorBidi"/>
      <w:color w:val="auto"/>
      <w:sz w:val="20"/>
    </w:rPr>
  </w:style>
  <w:style w:type="character" w:styleId="Emphasis">
    <w:name w:val="Emphasis"/>
    <w:basedOn w:val="DefaultParagraphFont"/>
    <w:uiPriority w:val="20"/>
    <w:qFormat/>
    <w:rsid w:val="006D178F"/>
    <w:rPr>
      <w:i/>
      <w:iCs/>
    </w:rPr>
  </w:style>
  <w:style w:type="character" w:styleId="Strong">
    <w:name w:val="Strong"/>
    <w:basedOn w:val="DefaultParagraphFont"/>
    <w:uiPriority w:val="22"/>
    <w:qFormat/>
    <w:rsid w:val="006D178F"/>
    <w:rPr>
      <w:b/>
      <w:bCs/>
    </w:rPr>
  </w:style>
  <w:style w:type="paragraph" w:styleId="BodyText">
    <w:name w:val="Body Text"/>
    <w:basedOn w:val="Normal"/>
    <w:link w:val="BodyTextChar"/>
    <w:uiPriority w:val="99"/>
    <w:rsid w:val="006D178F"/>
    <w:pPr>
      <w:pBdr>
        <w:top w:val="none" w:sz="0" w:space="0" w:color="auto"/>
        <w:left w:val="none" w:sz="0" w:space="0" w:color="auto"/>
        <w:bottom w:val="none" w:sz="0" w:space="0" w:color="auto"/>
        <w:right w:val="none" w:sz="0" w:space="0" w:color="auto"/>
      </w:pBdr>
      <w:spacing w:after="0" w:line="480" w:lineRule="auto"/>
      <w:jc w:val="both"/>
    </w:pPr>
    <w:rPr>
      <w:rFonts w:ascii="Times New Roman" w:hAnsi="Times New Roman"/>
      <w:color w:val="auto"/>
      <w:sz w:val="24"/>
    </w:rPr>
  </w:style>
  <w:style w:type="character" w:customStyle="1" w:styleId="BodyTextChar">
    <w:name w:val="Body Text Char"/>
    <w:basedOn w:val="DefaultParagraphFont"/>
    <w:link w:val="BodyText"/>
    <w:uiPriority w:val="99"/>
    <w:rsid w:val="006D178F"/>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D178F"/>
    <w:pPr>
      <w:pBdr>
        <w:top w:val="none" w:sz="0" w:space="0" w:color="auto"/>
        <w:left w:val="none" w:sz="0" w:space="0" w:color="auto"/>
        <w:bottom w:val="none" w:sz="0" w:space="0" w:color="auto"/>
        <w:right w:val="none" w:sz="0" w:space="0" w:color="auto"/>
      </w:pBdr>
      <w:tabs>
        <w:tab w:val="center" w:pos="4680"/>
        <w:tab w:val="right" w:pos="9360"/>
      </w:tabs>
      <w:spacing w:after="0" w:line="240" w:lineRule="auto"/>
    </w:pPr>
    <w:rPr>
      <w:rFonts w:asciiTheme="minorHAnsi" w:eastAsiaTheme="minorHAnsi" w:hAnsiTheme="minorHAnsi" w:cstheme="minorBidi"/>
      <w:color w:val="auto"/>
      <w:szCs w:val="22"/>
    </w:rPr>
  </w:style>
  <w:style w:type="character" w:customStyle="1" w:styleId="HeaderChar">
    <w:name w:val="Header Char"/>
    <w:basedOn w:val="DefaultParagraphFont"/>
    <w:link w:val="Header"/>
    <w:uiPriority w:val="99"/>
    <w:rsid w:val="006D178F"/>
  </w:style>
  <w:style w:type="paragraph" w:styleId="Footer">
    <w:name w:val="footer"/>
    <w:basedOn w:val="Normal"/>
    <w:link w:val="FooterChar"/>
    <w:uiPriority w:val="99"/>
    <w:unhideWhenUsed/>
    <w:rsid w:val="006D178F"/>
    <w:pPr>
      <w:pBdr>
        <w:top w:val="none" w:sz="0" w:space="0" w:color="auto"/>
        <w:left w:val="none" w:sz="0" w:space="0" w:color="auto"/>
        <w:bottom w:val="none" w:sz="0" w:space="0" w:color="auto"/>
        <w:right w:val="none" w:sz="0" w:space="0" w:color="auto"/>
      </w:pBdr>
      <w:tabs>
        <w:tab w:val="center" w:pos="4680"/>
        <w:tab w:val="right" w:pos="9360"/>
      </w:tabs>
      <w:spacing w:after="0" w:line="240" w:lineRule="auto"/>
    </w:pPr>
    <w:rPr>
      <w:rFonts w:asciiTheme="minorHAnsi" w:eastAsiaTheme="minorHAnsi" w:hAnsiTheme="minorHAnsi" w:cstheme="minorBidi"/>
      <w:color w:val="auto"/>
      <w:szCs w:val="22"/>
    </w:rPr>
  </w:style>
  <w:style w:type="character" w:customStyle="1" w:styleId="FooterChar">
    <w:name w:val="Footer Char"/>
    <w:basedOn w:val="DefaultParagraphFont"/>
    <w:link w:val="Footer"/>
    <w:uiPriority w:val="99"/>
    <w:rsid w:val="006D178F"/>
  </w:style>
  <w:style w:type="character" w:customStyle="1" w:styleId="BalloonTextChar">
    <w:name w:val="Balloon Text Char"/>
    <w:basedOn w:val="DefaultParagraphFont"/>
    <w:link w:val="BalloonText"/>
    <w:uiPriority w:val="99"/>
    <w:semiHidden/>
    <w:rsid w:val="006D178F"/>
    <w:rPr>
      <w:rFonts w:ascii="Segoe UI" w:hAnsi="Segoe UI" w:cs="Segoe UI"/>
      <w:sz w:val="18"/>
      <w:szCs w:val="18"/>
    </w:rPr>
  </w:style>
  <w:style w:type="paragraph" w:styleId="BalloonText">
    <w:name w:val="Balloon Text"/>
    <w:basedOn w:val="Normal"/>
    <w:link w:val="BalloonTextChar"/>
    <w:uiPriority w:val="99"/>
    <w:semiHidden/>
    <w:unhideWhenUsed/>
    <w:rsid w:val="006D178F"/>
    <w:pPr>
      <w:pBdr>
        <w:top w:val="none" w:sz="0" w:space="0" w:color="auto"/>
        <w:left w:val="none" w:sz="0" w:space="0" w:color="auto"/>
        <w:bottom w:val="none" w:sz="0" w:space="0" w:color="auto"/>
        <w:right w:val="none" w:sz="0" w:space="0" w:color="auto"/>
      </w:pBdr>
      <w:spacing w:after="0" w:line="240" w:lineRule="auto"/>
    </w:pPr>
    <w:rPr>
      <w:rFonts w:ascii="Segoe UI" w:eastAsiaTheme="minorHAnsi" w:hAnsi="Segoe UI" w:cs="Segoe UI"/>
      <w:color w:val="auto"/>
      <w:sz w:val="18"/>
      <w:szCs w:val="18"/>
    </w:rPr>
  </w:style>
  <w:style w:type="character" w:customStyle="1" w:styleId="fontstyle31">
    <w:name w:val="fontstyle31"/>
    <w:basedOn w:val="DefaultParagraphFont"/>
    <w:rsid w:val="006D178F"/>
    <w:rPr>
      <w:rFonts w:ascii="CenturyOSMTPro" w:hAnsi="CenturyOSMTPro" w:hint="default"/>
      <w:b w:val="0"/>
      <w:bCs w:val="0"/>
      <w:i w:val="0"/>
      <w:iCs w:val="0"/>
      <w:color w:val="242021"/>
      <w:sz w:val="20"/>
      <w:szCs w:val="20"/>
    </w:rPr>
  </w:style>
  <w:style w:type="character" w:customStyle="1" w:styleId="fontstyle41">
    <w:name w:val="fontstyle41"/>
    <w:basedOn w:val="DefaultParagraphFont"/>
    <w:rsid w:val="006D178F"/>
    <w:rPr>
      <w:rFonts w:ascii="Times-Roman" w:hAnsi="Times-Roman" w:hint="default"/>
      <w:b w:val="0"/>
      <w:bCs w:val="0"/>
      <w:i w:val="0"/>
      <w:iCs w:val="0"/>
      <w:color w:val="000000"/>
      <w:sz w:val="16"/>
      <w:szCs w:val="16"/>
    </w:rPr>
  </w:style>
  <w:style w:type="character" w:customStyle="1" w:styleId="highlight">
    <w:name w:val="highlight"/>
    <w:basedOn w:val="DefaultParagraphFont"/>
    <w:rsid w:val="006D178F"/>
  </w:style>
  <w:style w:type="paragraph" w:styleId="TOC1">
    <w:name w:val="toc 1"/>
    <w:basedOn w:val="Normal"/>
    <w:next w:val="Normal"/>
    <w:autoRedefine/>
    <w:uiPriority w:val="39"/>
    <w:unhideWhenUsed/>
    <w:rsid w:val="006D178F"/>
    <w:pPr>
      <w:pBdr>
        <w:top w:val="none" w:sz="0" w:space="0" w:color="auto"/>
        <w:left w:val="none" w:sz="0" w:space="0" w:color="auto"/>
        <w:bottom w:val="none" w:sz="0" w:space="0" w:color="auto"/>
        <w:right w:val="none" w:sz="0" w:space="0" w:color="auto"/>
      </w:pBdr>
      <w:spacing w:after="100"/>
    </w:pPr>
    <w:rPr>
      <w:rFonts w:asciiTheme="minorHAnsi" w:eastAsiaTheme="minorHAnsi" w:hAnsiTheme="minorHAnsi" w:cstheme="minorBidi"/>
      <w:color w:val="auto"/>
      <w:szCs w:val="22"/>
    </w:rPr>
  </w:style>
  <w:style w:type="paragraph" w:styleId="TOC2">
    <w:name w:val="toc 2"/>
    <w:basedOn w:val="Normal"/>
    <w:next w:val="Normal"/>
    <w:autoRedefine/>
    <w:uiPriority w:val="39"/>
    <w:unhideWhenUsed/>
    <w:rsid w:val="006D178F"/>
    <w:pPr>
      <w:pBdr>
        <w:top w:val="none" w:sz="0" w:space="0" w:color="auto"/>
        <w:left w:val="none" w:sz="0" w:space="0" w:color="auto"/>
        <w:bottom w:val="none" w:sz="0" w:space="0" w:color="auto"/>
        <w:right w:val="none" w:sz="0" w:space="0" w:color="auto"/>
      </w:pBdr>
      <w:spacing w:after="100"/>
      <w:ind w:left="220"/>
    </w:pPr>
    <w:rPr>
      <w:rFonts w:asciiTheme="minorHAnsi" w:eastAsiaTheme="minorHAnsi" w:hAnsiTheme="minorHAnsi" w:cstheme="minorBidi"/>
      <w:color w:val="auto"/>
      <w:szCs w:val="22"/>
    </w:rPr>
  </w:style>
  <w:style w:type="paragraph" w:styleId="TOC3">
    <w:name w:val="toc 3"/>
    <w:basedOn w:val="Normal"/>
    <w:next w:val="Normal"/>
    <w:autoRedefine/>
    <w:uiPriority w:val="39"/>
    <w:unhideWhenUsed/>
    <w:rsid w:val="006D178F"/>
    <w:pPr>
      <w:pBdr>
        <w:top w:val="none" w:sz="0" w:space="0" w:color="auto"/>
        <w:left w:val="none" w:sz="0" w:space="0" w:color="auto"/>
        <w:bottom w:val="none" w:sz="0" w:space="0" w:color="auto"/>
        <w:right w:val="none" w:sz="0" w:space="0" w:color="auto"/>
      </w:pBdr>
      <w:spacing w:after="100"/>
      <w:ind w:left="440"/>
    </w:pPr>
    <w:rPr>
      <w:rFonts w:asciiTheme="minorHAnsi" w:eastAsiaTheme="minorHAnsi" w:hAnsiTheme="minorHAnsi" w:cstheme="minorBidi"/>
      <w:color w:val="auto"/>
      <w:szCs w:val="22"/>
    </w:rPr>
  </w:style>
  <w:style w:type="character" w:styleId="Hyperlink">
    <w:name w:val="Hyperlink"/>
    <w:basedOn w:val="DefaultParagraphFont"/>
    <w:uiPriority w:val="99"/>
    <w:unhideWhenUsed/>
    <w:rsid w:val="006D178F"/>
    <w:rPr>
      <w:color w:val="0563C1" w:themeColor="hyperlink"/>
      <w:u w:val="single"/>
    </w:rPr>
  </w:style>
  <w:style w:type="paragraph" w:styleId="TableofFigures">
    <w:name w:val="table of figures"/>
    <w:basedOn w:val="Normal"/>
    <w:next w:val="Normal"/>
    <w:uiPriority w:val="99"/>
    <w:unhideWhenUsed/>
    <w:rsid w:val="006D178F"/>
    <w:pPr>
      <w:pBdr>
        <w:top w:val="none" w:sz="0" w:space="0" w:color="auto"/>
        <w:left w:val="none" w:sz="0" w:space="0" w:color="auto"/>
        <w:bottom w:val="none" w:sz="0" w:space="0" w:color="auto"/>
        <w:right w:val="none" w:sz="0" w:space="0" w:color="auto"/>
      </w:pBdr>
      <w:spacing w:after="0"/>
    </w:pPr>
    <w:rPr>
      <w:rFonts w:asciiTheme="minorHAnsi" w:eastAsiaTheme="minorHAnsi" w:hAnsiTheme="minorHAnsi" w:cstheme="minorBidi"/>
      <w:color w:val="auto"/>
      <w:szCs w:val="22"/>
    </w:rPr>
  </w:style>
  <w:style w:type="character" w:customStyle="1" w:styleId="fontstyle11">
    <w:name w:val="fontstyle11"/>
    <w:basedOn w:val="DefaultParagraphFont"/>
    <w:rsid w:val="006D178F"/>
    <w:rPr>
      <w:rFonts w:ascii="JdqhkxAdvTTb5929f4c" w:hAnsi="JdqhkxAdvTTb5929f4c" w:hint="default"/>
      <w:b w:val="0"/>
      <w:bCs w:val="0"/>
      <w:i w:val="0"/>
      <w:iCs w:val="0"/>
      <w:color w:val="131413"/>
      <w:sz w:val="16"/>
      <w:szCs w:val="16"/>
    </w:rPr>
  </w:style>
  <w:style w:type="paragraph" w:styleId="FootnoteText">
    <w:name w:val="footnote text"/>
    <w:basedOn w:val="Normal"/>
    <w:link w:val="FootnoteTextChar"/>
    <w:uiPriority w:val="99"/>
    <w:semiHidden/>
    <w:unhideWhenUsed/>
    <w:rsid w:val="006D178F"/>
    <w:pPr>
      <w:pBdr>
        <w:top w:val="none" w:sz="0" w:space="0" w:color="auto"/>
        <w:left w:val="none" w:sz="0" w:space="0" w:color="auto"/>
        <w:bottom w:val="none" w:sz="0" w:space="0" w:color="auto"/>
        <w:right w:val="none" w:sz="0" w:space="0" w:color="auto"/>
      </w:pBdr>
      <w:spacing w:after="0" w:line="240" w:lineRule="auto"/>
    </w:pPr>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uiPriority w:val="99"/>
    <w:semiHidden/>
    <w:rsid w:val="006D178F"/>
    <w:rPr>
      <w:sz w:val="20"/>
      <w:szCs w:val="20"/>
    </w:rPr>
  </w:style>
  <w:style w:type="character" w:styleId="FootnoteReference">
    <w:name w:val="footnote reference"/>
    <w:basedOn w:val="DefaultParagraphFont"/>
    <w:uiPriority w:val="99"/>
    <w:semiHidden/>
    <w:unhideWhenUsed/>
    <w:rsid w:val="006D178F"/>
    <w:rPr>
      <w:vertAlign w:val="superscript"/>
    </w:rPr>
  </w:style>
  <w:style w:type="character" w:customStyle="1" w:styleId="CommentSubjectChar">
    <w:name w:val="Comment Subject Char"/>
    <w:basedOn w:val="CommentTextChar"/>
    <w:link w:val="CommentSubject"/>
    <w:uiPriority w:val="99"/>
    <w:semiHidden/>
    <w:rsid w:val="006D178F"/>
    <w:rPr>
      <w:rFonts w:eastAsia="Batang"/>
      <w:b/>
      <w:bCs/>
      <w:sz w:val="20"/>
      <w:szCs w:val="20"/>
    </w:rPr>
  </w:style>
  <w:style w:type="paragraph" w:styleId="CommentSubject">
    <w:name w:val="annotation subject"/>
    <w:basedOn w:val="CommentText"/>
    <w:next w:val="CommentText"/>
    <w:link w:val="CommentSubjectChar"/>
    <w:uiPriority w:val="99"/>
    <w:semiHidden/>
    <w:unhideWhenUsed/>
    <w:rsid w:val="006D178F"/>
    <w:pPr>
      <w:spacing w:after="200"/>
    </w:pPr>
    <w:rPr>
      <w:rFonts w:eastAsiaTheme="minorHAnsi"/>
      <w:b/>
      <w:bCs/>
    </w:rPr>
  </w:style>
  <w:style w:type="paragraph" w:customStyle="1" w:styleId="msonormal0">
    <w:name w:val="msonormal"/>
    <w:basedOn w:val="Normal"/>
    <w:uiPriority w:val="99"/>
    <w:rsid w:val="006D178F"/>
    <w:pPr>
      <w:pBdr>
        <w:top w:val="none" w:sz="0" w:space="0" w:color="auto"/>
        <w:left w:val="none" w:sz="0" w:space="0" w:color="auto"/>
        <w:bottom w:val="none" w:sz="0" w:space="0" w:color="auto"/>
        <w:right w:val="none" w:sz="0" w:space="0" w:color="auto"/>
      </w:pBdr>
      <w:spacing w:before="100" w:beforeAutospacing="1" w:after="100" w:afterAutospacing="1" w:line="240" w:lineRule="auto"/>
    </w:pPr>
    <w:rPr>
      <w:rFonts w:ascii="Times New Roman" w:hAnsi="Times New Roman"/>
      <w:color w:val="auto"/>
      <w:sz w:val="24"/>
      <w:szCs w:val="24"/>
    </w:rPr>
  </w:style>
  <w:style w:type="paragraph" w:customStyle="1" w:styleId="para">
    <w:name w:val="para"/>
    <w:basedOn w:val="Normal"/>
    <w:rsid w:val="006D178F"/>
    <w:pPr>
      <w:pBdr>
        <w:top w:val="none" w:sz="0" w:space="0" w:color="auto"/>
        <w:left w:val="none" w:sz="0" w:space="0" w:color="auto"/>
        <w:bottom w:val="none" w:sz="0" w:space="0" w:color="auto"/>
        <w:right w:val="none" w:sz="0" w:space="0" w:color="auto"/>
      </w:pBdr>
      <w:spacing w:before="100" w:beforeAutospacing="1" w:after="100" w:afterAutospacing="1" w:line="240" w:lineRule="auto"/>
    </w:pPr>
    <w:rPr>
      <w:rFonts w:ascii="Times New Roman" w:hAnsi="Times New Roman"/>
      <w:color w:val="auto"/>
      <w:sz w:val="24"/>
      <w:szCs w:val="24"/>
    </w:rPr>
  </w:style>
  <w:style w:type="character" w:customStyle="1" w:styleId="mi">
    <w:name w:val="mi"/>
    <w:basedOn w:val="DefaultParagraphFont"/>
    <w:rsid w:val="006D178F"/>
  </w:style>
  <w:style w:type="character" w:customStyle="1" w:styleId="mo">
    <w:name w:val="mo"/>
    <w:basedOn w:val="DefaultParagraphFont"/>
    <w:rsid w:val="006D178F"/>
  </w:style>
  <w:style w:type="character" w:customStyle="1" w:styleId="mn">
    <w:name w:val="mn"/>
    <w:basedOn w:val="DefaultParagraphFont"/>
    <w:rsid w:val="006D178F"/>
  </w:style>
  <w:style w:type="character" w:customStyle="1" w:styleId="mjxassistivemathml">
    <w:name w:val="mjx_assistive_mathml"/>
    <w:basedOn w:val="DefaultParagraphFont"/>
    <w:rsid w:val="006D178F"/>
  </w:style>
  <w:style w:type="character" w:customStyle="1" w:styleId="mtext">
    <w:name w:val="mtext"/>
    <w:basedOn w:val="DefaultParagraphFont"/>
    <w:rsid w:val="006D178F"/>
  </w:style>
  <w:style w:type="character" w:customStyle="1" w:styleId="fontstyle51">
    <w:name w:val="fontstyle51"/>
    <w:basedOn w:val="DefaultParagraphFont"/>
    <w:rsid w:val="006D178F"/>
    <w:rPr>
      <w:rFonts w:ascii="BgpgqpAdvTT8861b38f.I" w:hAnsi="BgpgqpAdvTT8861b38f.I" w:hint="default"/>
      <w:b w:val="0"/>
      <w:bCs w:val="0"/>
      <w:i w:val="0"/>
      <w:iCs w:val="0"/>
      <w:color w:val="131413"/>
      <w:sz w:val="20"/>
      <w:szCs w:val="20"/>
    </w:rPr>
  </w:style>
  <w:style w:type="character" w:customStyle="1" w:styleId="fontstyle61">
    <w:name w:val="fontstyle61"/>
    <w:basedOn w:val="DefaultParagraphFont"/>
    <w:rsid w:val="006D178F"/>
    <w:rPr>
      <w:rFonts w:ascii="CMBX10" w:hAnsi="CMBX10" w:hint="default"/>
      <w:b/>
      <w:bCs/>
      <w:i w:val="0"/>
      <w:iCs w:val="0"/>
      <w:color w:val="000000"/>
      <w:sz w:val="20"/>
      <w:szCs w:val="20"/>
    </w:rPr>
  </w:style>
  <w:style w:type="character" w:customStyle="1" w:styleId="fontstyle71">
    <w:name w:val="fontstyle71"/>
    <w:basedOn w:val="DefaultParagraphFont"/>
    <w:rsid w:val="006D178F"/>
    <w:rPr>
      <w:rFonts w:ascii="CMMIB10" w:hAnsi="CMMIB10" w:hint="default"/>
      <w:b/>
      <w:bCs/>
      <w:i/>
      <w:iCs/>
      <w:color w:val="000000"/>
      <w:sz w:val="20"/>
      <w:szCs w:val="20"/>
    </w:rPr>
  </w:style>
  <w:style w:type="character" w:customStyle="1" w:styleId="fontstyle81">
    <w:name w:val="fontstyle81"/>
    <w:basedOn w:val="DefaultParagraphFont"/>
    <w:rsid w:val="006D178F"/>
    <w:rPr>
      <w:rFonts w:ascii="CMMIB10" w:hAnsi="CMMIB10" w:hint="default"/>
      <w:b/>
      <w:bCs/>
      <w:i/>
      <w:iCs/>
      <w:color w:val="000000"/>
      <w:sz w:val="20"/>
      <w:szCs w:val="20"/>
    </w:rPr>
  </w:style>
  <w:style w:type="character" w:customStyle="1" w:styleId="fontstyle91">
    <w:name w:val="fontstyle91"/>
    <w:basedOn w:val="DefaultParagraphFont"/>
    <w:rsid w:val="006D178F"/>
    <w:rPr>
      <w:rFonts w:ascii="CMR7" w:hAnsi="CMR7" w:hint="default"/>
      <w:b w:val="0"/>
      <w:bCs w:val="0"/>
      <w:i w:val="0"/>
      <w:iCs w:val="0"/>
      <w:color w:val="000000"/>
      <w:sz w:val="14"/>
      <w:szCs w:val="14"/>
    </w:rPr>
  </w:style>
  <w:style w:type="character" w:customStyle="1" w:styleId="fontstyle101">
    <w:name w:val="fontstyle101"/>
    <w:basedOn w:val="DefaultParagraphFont"/>
    <w:rsid w:val="006D178F"/>
    <w:rPr>
      <w:rFonts w:ascii="cmex10" w:hAnsi="cmex10" w:hint="default"/>
      <w:b w:val="0"/>
      <w:bCs w:val="0"/>
      <w:i w:val="0"/>
      <w:iCs w:val="0"/>
      <w:color w:val="000000"/>
      <w:sz w:val="20"/>
      <w:szCs w:val="20"/>
    </w:rPr>
  </w:style>
  <w:style w:type="character" w:customStyle="1" w:styleId="EndnoteTextChar">
    <w:name w:val="Endnote Text Char"/>
    <w:basedOn w:val="DefaultParagraphFont"/>
    <w:link w:val="EndnoteText"/>
    <w:uiPriority w:val="99"/>
    <w:semiHidden/>
    <w:rsid w:val="006D178F"/>
    <w:rPr>
      <w:sz w:val="20"/>
      <w:szCs w:val="20"/>
    </w:rPr>
  </w:style>
  <w:style w:type="paragraph" w:styleId="EndnoteText">
    <w:name w:val="endnote text"/>
    <w:basedOn w:val="Normal"/>
    <w:link w:val="EndnoteTextChar"/>
    <w:uiPriority w:val="99"/>
    <w:semiHidden/>
    <w:unhideWhenUsed/>
    <w:rsid w:val="006D178F"/>
    <w:pPr>
      <w:pBdr>
        <w:top w:val="none" w:sz="0" w:space="0" w:color="auto"/>
        <w:left w:val="none" w:sz="0" w:space="0" w:color="auto"/>
        <w:bottom w:val="none" w:sz="0" w:space="0" w:color="auto"/>
        <w:right w:val="none" w:sz="0" w:space="0" w:color="auto"/>
      </w:pBdr>
      <w:spacing w:after="0" w:line="240" w:lineRule="auto"/>
    </w:pPr>
    <w:rPr>
      <w:rFonts w:asciiTheme="minorHAnsi" w:eastAsiaTheme="minorHAnsi" w:hAnsiTheme="minorHAnsi" w:cstheme="minorBidi"/>
      <w:color w:val="auto"/>
      <w:sz w:val="20"/>
    </w:rPr>
  </w:style>
  <w:style w:type="numbering" w:customStyle="1" w:styleId="NoList1">
    <w:name w:val="No List1"/>
    <w:next w:val="NoList"/>
    <w:uiPriority w:val="99"/>
    <w:semiHidden/>
    <w:unhideWhenUsed/>
    <w:rsid w:val="001A4527"/>
  </w:style>
  <w:style w:type="table" w:customStyle="1" w:styleId="TableGrid1">
    <w:name w:val="Table Grid1"/>
    <w:basedOn w:val="TableNormal"/>
    <w:next w:val="TableGrid"/>
    <w:uiPriority w:val="59"/>
    <w:rsid w:val="001A452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E94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776523">
      <w:bodyDiv w:val="1"/>
      <w:marLeft w:val="0"/>
      <w:marRight w:val="0"/>
      <w:marTop w:val="0"/>
      <w:marBottom w:val="0"/>
      <w:divBdr>
        <w:top w:val="none" w:sz="0" w:space="0" w:color="auto"/>
        <w:left w:val="none" w:sz="0" w:space="0" w:color="auto"/>
        <w:bottom w:val="none" w:sz="0" w:space="0" w:color="auto"/>
        <w:right w:val="none" w:sz="0" w:space="0" w:color="auto"/>
      </w:divBdr>
    </w:div>
    <w:div w:id="1365903414">
      <w:bodyDiv w:val="1"/>
      <w:marLeft w:val="0"/>
      <w:marRight w:val="0"/>
      <w:marTop w:val="0"/>
      <w:marBottom w:val="0"/>
      <w:divBdr>
        <w:top w:val="none" w:sz="0" w:space="0" w:color="auto"/>
        <w:left w:val="none" w:sz="0" w:space="0" w:color="auto"/>
        <w:bottom w:val="none" w:sz="0" w:space="0" w:color="auto"/>
        <w:right w:val="none" w:sz="0" w:space="0" w:color="auto"/>
      </w:divBdr>
    </w:div>
    <w:div w:id="1447381832">
      <w:bodyDiv w:val="1"/>
      <w:marLeft w:val="0"/>
      <w:marRight w:val="0"/>
      <w:marTop w:val="0"/>
      <w:marBottom w:val="0"/>
      <w:divBdr>
        <w:top w:val="none" w:sz="0" w:space="0" w:color="auto"/>
        <w:left w:val="none" w:sz="0" w:space="0" w:color="auto"/>
        <w:bottom w:val="none" w:sz="0" w:space="0" w:color="auto"/>
        <w:right w:val="none" w:sz="0" w:space="0" w:color="auto"/>
      </w:divBdr>
    </w:div>
    <w:div w:id="1530336851">
      <w:bodyDiv w:val="1"/>
      <w:marLeft w:val="0"/>
      <w:marRight w:val="0"/>
      <w:marTop w:val="0"/>
      <w:marBottom w:val="0"/>
      <w:divBdr>
        <w:top w:val="none" w:sz="0" w:space="0" w:color="auto"/>
        <w:left w:val="none" w:sz="0" w:space="0" w:color="auto"/>
        <w:bottom w:val="none" w:sz="0" w:space="0" w:color="auto"/>
        <w:right w:val="none" w:sz="0" w:space="0" w:color="auto"/>
      </w:divBdr>
    </w:div>
    <w:div w:id="1711800865">
      <w:bodyDiv w:val="1"/>
      <w:marLeft w:val="0"/>
      <w:marRight w:val="0"/>
      <w:marTop w:val="0"/>
      <w:marBottom w:val="0"/>
      <w:divBdr>
        <w:top w:val="none" w:sz="0" w:space="0" w:color="auto"/>
        <w:left w:val="none" w:sz="0" w:space="0" w:color="auto"/>
        <w:bottom w:val="none" w:sz="0" w:space="0" w:color="auto"/>
        <w:right w:val="none" w:sz="0" w:space="0" w:color="auto"/>
      </w:divBdr>
    </w:div>
    <w:div w:id="19936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13F7A-2783-4E77-9A00-5F9471F1C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2621</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Abiyot</dc:creator>
  <cp:lastModifiedBy>Poonam Mutha</cp:lastModifiedBy>
  <cp:revision>4</cp:revision>
  <dcterms:created xsi:type="dcterms:W3CDTF">2021-12-16T23:13:00Z</dcterms:created>
  <dcterms:modified xsi:type="dcterms:W3CDTF">2021-12-20T15:29:00Z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http://csl.mendeley.com/styles/450947101/apa-2A</vt:lpwstr>
  </property>
  <property fmtid="{D5CDD505-2E9C-101B-9397-08002B2CF9AE}" pid="3" name="Mendeley Recent Style Name 0_1">
    <vt:lpwstr>American Psychological Association 6th edition - Abyot Teklu</vt:lpwstr>
  </property>
  <property fmtid="{D5CDD505-2E9C-101B-9397-08002B2CF9AE}" pid="4" name="Mendeley Recent Style Id 1_1">
    <vt:lpwstr>https://csl.mendeley.com/styles/450947101/apa-2A</vt:lpwstr>
  </property>
  <property fmtid="{D5CDD505-2E9C-101B-9397-08002B2CF9AE}" pid="5" name="Mendeley Recent Style Name 1_1">
    <vt:lpwstr>American Psychological Association 6th edition - Abyot Teklu</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http://csl.mendeley.com/styles/450947101/apa-8</vt:lpwstr>
  </property>
  <property fmtid="{D5CDD505-2E9C-101B-9397-08002B2CF9AE}" pid="9" name="Mendeley Recent Style Name 3_1">
    <vt:lpwstr>American Psychological Association 7th edition - Abyot Teklu</vt:lpwstr>
  </property>
  <property fmtid="{D5CDD505-2E9C-101B-9397-08002B2CF9AE}" pid="10" name="Mendeley Recent Style Id 4_1">
    <vt:lpwstr>https://csl.mendeley.com/styles/450947101/apa-6</vt:lpwstr>
  </property>
  <property fmtid="{D5CDD505-2E9C-101B-9397-08002B2CF9AE}" pid="11" name="Mendeley Recent Style Name 4_1">
    <vt:lpwstr>American Psychological Association 7th edition - Abyot6 - Abyot Teklu</vt:lpwstr>
  </property>
  <property fmtid="{D5CDD505-2E9C-101B-9397-08002B2CF9AE}" pid="12" name="Mendeley Recent Style Id 5_1">
    <vt:lpwstr>http://csl.mendeley.com/styles/450947101/apa-6</vt:lpwstr>
  </property>
  <property fmtid="{D5CDD505-2E9C-101B-9397-08002B2CF9AE}" pid="13" name="Mendeley Recent Style Name 5_1">
    <vt:lpwstr>American Psychological Association 7th edition - Abyot6 - Abyot Teklu</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b7aad8b0-2d5a-34d6-a958-0e3db76a3123</vt:lpwstr>
  </property>
  <property fmtid="{D5CDD505-2E9C-101B-9397-08002B2CF9AE}" pid="24" name="Mendeley Citation Style_1">
    <vt:lpwstr>http://www.zotero.org/styles/apa</vt:lpwstr>
  </property>
</Properties>
</file>