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3CCE2" w14:textId="77777777" w:rsidR="00E075AB" w:rsidRDefault="00E075AB" w:rsidP="00E075AB">
      <w:pPr>
        <w:pStyle w:val="Figurecaption"/>
        <w:spacing w:before="0" w:line="480" w:lineRule="auto"/>
        <w:rPr>
          <w:sz w:val="20"/>
          <w:szCs w:val="20"/>
        </w:rPr>
      </w:pPr>
      <w:r w:rsidRPr="001A782E">
        <w:rPr>
          <w:b/>
          <w:sz w:val="20"/>
          <w:szCs w:val="20"/>
        </w:rPr>
        <w:t>Supplementary</w:t>
      </w:r>
      <w:r w:rsidRPr="00661DE2">
        <w:rPr>
          <w:b/>
          <w:sz w:val="20"/>
          <w:szCs w:val="20"/>
        </w:rPr>
        <w:t xml:space="preserve"> file </w:t>
      </w:r>
      <w:r>
        <w:rPr>
          <w:b/>
          <w:sz w:val="20"/>
          <w:szCs w:val="20"/>
        </w:rPr>
        <w:t>2</w:t>
      </w:r>
      <w:r w:rsidRPr="00661DE2">
        <w:rPr>
          <w:b/>
          <w:sz w:val="20"/>
          <w:szCs w:val="20"/>
        </w:rPr>
        <w:t>.</w:t>
      </w:r>
      <w:r w:rsidRPr="00E075AB">
        <w:rPr>
          <w:sz w:val="20"/>
          <w:szCs w:val="20"/>
          <w:lang w:eastAsia="zh-CN"/>
        </w:rPr>
        <w:t xml:space="preserve"> </w:t>
      </w:r>
      <w:r w:rsidRPr="00E075AB">
        <w:rPr>
          <w:sz w:val="20"/>
          <w:szCs w:val="20"/>
        </w:rPr>
        <w:t>Supplementary fi</w:t>
      </w:r>
      <w:r w:rsidRPr="00E075AB">
        <w:rPr>
          <w:rFonts w:hint="eastAsia"/>
          <w:sz w:val="20"/>
          <w:szCs w:val="20"/>
          <w:lang w:eastAsia="zh-CN"/>
        </w:rPr>
        <w:t>gur</w:t>
      </w:r>
      <w:r w:rsidRPr="00E075AB">
        <w:rPr>
          <w:sz w:val="20"/>
          <w:szCs w:val="20"/>
        </w:rPr>
        <w:t>es</w:t>
      </w:r>
    </w:p>
    <w:p w14:paraId="0B97EE52" w14:textId="77777777" w:rsidR="00E075AB" w:rsidRPr="00E075AB" w:rsidRDefault="00E075AB" w:rsidP="00E075AB">
      <w:pPr>
        <w:rPr>
          <w:lang w:val="en-GB" w:eastAsia="en-GB"/>
        </w:rPr>
      </w:pPr>
      <w:r>
        <w:rPr>
          <w:noProof/>
          <w:lang w:val="en-GB" w:eastAsia="en-GB"/>
        </w:rPr>
        <w:drawing>
          <wp:inline distT="0" distB="0" distL="0" distR="0" wp14:anchorId="5FBCCA59" wp14:editId="68AB9EAF">
            <wp:extent cx="5274310" cy="45053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_00.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505325"/>
                    </a:xfrm>
                    <a:prstGeom prst="rect">
                      <a:avLst/>
                    </a:prstGeom>
                  </pic:spPr>
                </pic:pic>
              </a:graphicData>
            </a:graphic>
          </wp:inline>
        </w:drawing>
      </w:r>
    </w:p>
    <w:p w14:paraId="5E9E68C6" w14:textId="77777777" w:rsidR="00E075AB" w:rsidRPr="00E075AB" w:rsidRDefault="00E075AB" w:rsidP="00E075AB">
      <w:pPr>
        <w:pStyle w:val="Figurecaption"/>
        <w:spacing w:before="0" w:line="480" w:lineRule="auto"/>
        <w:rPr>
          <w:sz w:val="20"/>
          <w:szCs w:val="20"/>
        </w:rPr>
      </w:pPr>
      <w:r w:rsidRPr="001A782E">
        <w:rPr>
          <w:b/>
          <w:sz w:val="20"/>
          <w:szCs w:val="20"/>
        </w:rPr>
        <w:t>Fig</w:t>
      </w:r>
      <w:r>
        <w:rPr>
          <w:b/>
          <w:sz w:val="20"/>
          <w:szCs w:val="20"/>
        </w:rPr>
        <w:t>. S</w:t>
      </w:r>
      <w:r w:rsidRPr="001A782E">
        <w:rPr>
          <w:b/>
          <w:sz w:val="20"/>
          <w:szCs w:val="20"/>
        </w:rPr>
        <w:t xml:space="preserve">1 </w:t>
      </w:r>
      <w:r w:rsidRPr="001A782E">
        <w:rPr>
          <w:sz w:val="20"/>
          <w:szCs w:val="20"/>
        </w:rPr>
        <w:t xml:space="preserve">(A) Schematic diagram of </w:t>
      </w:r>
      <w:r w:rsidRPr="000D7CB1">
        <w:rPr>
          <w:i/>
          <w:sz w:val="20"/>
          <w:szCs w:val="20"/>
        </w:rPr>
        <w:t>in vivo</w:t>
      </w:r>
      <w:r w:rsidRPr="001A782E">
        <w:rPr>
          <w:sz w:val="20"/>
          <w:szCs w:val="20"/>
        </w:rPr>
        <w:t xml:space="preserve"> ACR neuropathy model. (B) H&amp;E and </w:t>
      </w:r>
      <w:proofErr w:type="spellStart"/>
      <w:r w:rsidRPr="001A782E">
        <w:rPr>
          <w:sz w:val="20"/>
          <w:szCs w:val="20"/>
        </w:rPr>
        <w:t>Thionine</w:t>
      </w:r>
      <w:proofErr w:type="spellEnd"/>
      <w:r w:rsidRPr="001A782E">
        <w:rPr>
          <w:sz w:val="20"/>
          <w:szCs w:val="20"/>
        </w:rPr>
        <w:t xml:space="preserve"> Nissl staining of the spinal cord cross-sections from rats subjected to ACR for four weeks. Cells with a distinct nucleus and a diameter of at least 25 </w:t>
      </w:r>
      <w:proofErr w:type="spellStart"/>
      <w:r w:rsidRPr="001A782E">
        <w:rPr>
          <w:sz w:val="20"/>
          <w:szCs w:val="20"/>
        </w:rPr>
        <w:t>μm</w:t>
      </w:r>
      <w:proofErr w:type="spellEnd"/>
      <w:r w:rsidRPr="001A782E">
        <w:rPr>
          <w:sz w:val="20"/>
          <w:szCs w:val="20"/>
        </w:rPr>
        <w:t xml:space="preserve"> located in the anterior horn ventral to the line tangential to the ventral tip of the central canal are deemed to be α motor neurons. Those α motor neurons </w:t>
      </w:r>
      <w:r w:rsidRPr="000D7CB1">
        <w:rPr>
          <w:sz w:val="20"/>
          <w:szCs w:val="20"/>
        </w:rPr>
        <w:t xml:space="preserve">with hyperchromatic cytoplasm </w:t>
      </w:r>
      <w:r w:rsidRPr="001A782E">
        <w:rPr>
          <w:sz w:val="20"/>
          <w:szCs w:val="20"/>
        </w:rPr>
        <w:t>are marked by red arrowheads. Corresponds to Fig</w:t>
      </w:r>
      <w:r>
        <w:rPr>
          <w:sz w:val="20"/>
          <w:szCs w:val="20"/>
        </w:rPr>
        <w:t>.</w:t>
      </w:r>
      <w:r w:rsidRPr="001A782E">
        <w:rPr>
          <w:sz w:val="20"/>
          <w:szCs w:val="20"/>
        </w:rPr>
        <w:t xml:space="preserve"> 1B, 1E. (C) Schematic diagram of </w:t>
      </w:r>
      <w:r w:rsidRPr="00B81DA6">
        <w:rPr>
          <w:i/>
          <w:sz w:val="20"/>
          <w:szCs w:val="20"/>
        </w:rPr>
        <w:t>in vitro</w:t>
      </w:r>
      <w:r w:rsidRPr="001A782E">
        <w:rPr>
          <w:sz w:val="20"/>
          <w:szCs w:val="20"/>
        </w:rPr>
        <w:t xml:space="preserve"> ACR neuropathy model. (D) The viability of N2a cells with different concentrations ACR treated for 24 hours. The half maximal inhibitory concentration (IC50) of ACR on </w:t>
      </w:r>
      <w:r w:rsidRPr="00B81DA6">
        <w:rPr>
          <w:sz w:val="20"/>
          <w:szCs w:val="20"/>
        </w:rPr>
        <w:t xml:space="preserve">differentiated </w:t>
      </w:r>
      <w:r w:rsidRPr="001A782E">
        <w:rPr>
          <w:sz w:val="20"/>
          <w:szCs w:val="20"/>
        </w:rPr>
        <w:t>N2a cells is calculated by nonlinear regression in GraphPad Prism</w:t>
      </w:r>
      <w:r>
        <w:rPr>
          <w:sz w:val="20"/>
          <w:szCs w:val="20"/>
        </w:rPr>
        <w:t xml:space="preserve"> 8</w:t>
      </w:r>
      <w:r w:rsidRPr="001A782E">
        <w:rPr>
          <w:sz w:val="20"/>
          <w:szCs w:val="20"/>
        </w:rPr>
        <w:t>. IC50</w:t>
      </w:r>
      <w:r>
        <w:rPr>
          <w:sz w:val="20"/>
          <w:szCs w:val="20"/>
        </w:rPr>
        <w:t xml:space="preserve"> </w:t>
      </w:r>
      <w:r w:rsidRPr="001A782E">
        <w:rPr>
          <w:sz w:val="20"/>
          <w:szCs w:val="20"/>
        </w:rPr>
        <w:t>= 2.609 (95%CI, 2.354 to 2.889)</w:t>
      </w:r>
      <w:r>
        <w:rPr>
          <w:sz w:val="20"/>
          <w:szCs w:val="20"/>
        </w:rPr>
        <w:t xml:space="preserve"> </w:t>
      </w:r>
      <w:proofErr w:type="spellStart"/>
      <w:r w:rsidRPr="001A782E">
        <w:rPr>
          <w:sz w:val="20"/>
          <w:szCs w:val="20"/>
        </w:rPr>
        <w:t>mM</w:t>
      </w:r>
      <w:r>
        <w:rPr>
          <w:sz w:val="20"/>
          <w:szCs w:val="20"/>
        </w:rPr>
        <w:t>.</w:t>
      </w:r>
      <w:proofErr w:type="spellEnd"/>
      <w:r>
        <w:br w:type="page"/>
      </w:r>
    </w:p>
    <w:p w14:paraId="7E265B7A" w14:textId="77777777" w:rsidR="00E075AB" w:rsidRPr="001A782E" w:rsidRDefault="00E075AB" w:rsidP="00E075AB">
      <w:pPr>
        <w:pStyle w:val="Figurecaption"/>
        <w:spacing w:before="0" w:line="480" w:lineRule="auto"/>
        <w:rPr>
          <w:sz w:val="20"/>
          <w:szCs w:val="20"/>
        </w:rPr>
      </w:pPr>
      <w:r>
        <w:rPr>
          <w:noProof/>
          <w:sz w:val="20"/>
          <w:szCs w:val="20"/>
        </w:rPr>
        <w:lastRenderedPageBreak/>
        <w:drawing>
          <wp:inline distT="0" distB="0" distL="0" distR="0" wp14:anchorId="1AF37E10" wp14:editId="0A37E12A">
            <wp:extent cx="5274310" cy="70326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_00.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20905893" w14:textId="77777777" w:rsidR="00E075AB" w:rsidRPr="00E075AB" w:rsidRDefault="00E075AB" w:rsidP="00E075AB">
      <w:pPr>
        <w:pStyle w:val="Figurecaption"/>
        <w:spacing w:before="0" w:line="480" w:lineRule="auto"/>
        <w:rPr>
          <w:sz w:val="20"/>
          <w:szCs w:val="20"/>
        </w:rPr>
      </w:pPr>
      <w:r w:rsidRPr="001A782E">
        <w:rPr>
          <w:b/>
          <w:sz w:val="20"/>
          <w:szCs w:val="20"/>
        </w:rPr>
        <w:t>Fig</w:t>
      </w:r>
      <w:r>
        <w:rPr>
          <w:b/>
          <w:sz w:val="20"/>
          <w:szCs w:val="20"/>
        </w:rPr>
        <w:t>. S</w:t>
      </w:r>
      <w:r w:rsidRPr="001A782E">
        <w:rPr>
          <w:b/>
          <w:sz w:val="20"/>
          <w:szCs w:val="20"/>
        </w:rPr>
        <w:t>2</w:t>
      </w:r>
      <w:r w:rsidRPr="001A782E">
        <w:rPr>
          <w:sz w:val="20"/>
          <w:szCs w:val="20"/>
        </w:rPr>
        <w:t xml:space="preserve"> (A) Immunofluorescence of SARM1 (red) and Parkin (green) in spinal cord cross-sections from rats subjected to ACR for four weeks. White dotted lines outline α motor neurons and white solid lines are the region of interest (ROI) for </w:t>
      </w:r>
      <w:proofErr w:type="spellStart"/>
      <w:r w:rsidRPr="001A782E">
        <w:rPr>
          <w:sz w:val="20"/>
          <w:szCs w:val="20"/>
        </w:rPr>
        <w:t>gray</w:t>
      </w:r>
      <w:proofErr w:type="spellEnd"/>
      <w:r w:rsidRPr="001A782E">
        <w:rPr>
          <w:sz w:val="20"/>
          <w:szCs w:val="20"/>
        </w:rPr>
        <w:t xml:space="preserve"> intensity analysis of red and green channels. White arrow</w:t>
      </w:r>
      <w:r>
        <w:rPr>
          <w:sz w:val="20"/>
          <w:szCs w:val="20"/>
        </w:rPr>
        <w:t>head</w:t>
      </w:r>
      <w:r w:rsidRPr="001A782E">
        <w:rPr>
          <w:sz w:val="20"/>
          <w:szCs w:val="20"/>
        </w:rPr>
        <w:t xml:space="preserve">s point out points where red and green channels co-localize along axons. Scale bar, 20 µm. </w:t>
      </w:r>
      <w:r w:rsidRPr="001A782E">
        <w:rPr>
          <w:sz w:val="20"/>
          <w:szCs w:val="20"/>
        </w:rPr>
        <w:lastRenderedPageBreak/>
        <w:t xml:space="preserve">(B) Immunofluorescence of SARM1 (red) and Parkin (green), and (C) SARM1 (red) and DRP1 (green) in N2a cells with ACR treated for 24 hours. White solid lines are the region of interest (ROI) for </w:t>
      </w:r>
      <w:proofErr w:type="spellStart"/>
      <w:r w:rsidRPr="001A782E">
        <w:rPr>
          <w:sz w:val="20"/>
          <w:szCs w:val="20"/>
        </w:rPr>
        <w:t>gray</w:t>
      </w:r>
      <w:proofErr w:type="spellEnd"/>
      <w:r w:rsidRPr="001A782E">
        <w:rPr>
          <w:sz w:val="20"/>
          <w:szCs w:val="20"/>
        </w:rPr>
        <w:t xml:space="preserve"> intensity analysis of red and green channels. Scale bar, 20 µm.</w:t>
      </w:r>
      <w:r>
        <w:rPr>
          <w:b/>
          <w:sz w:val="20"/>
          <w:szCs w:val="20"/>
        </w:rPr>
        <w:br w:type="page"/>
      </w:r>
    </w:p>
    <w:p w14:paraId="5CA2BF9D" w14:textId="77777777" w:rsidR="00E075AB" w:rsidRDefault="00E075AB" w:rsidP="00E075AB">
      <w:pPr>
        <w:pStyle w:val="Figurecaption"/>
        <w:spacing w:before="0" w:line="480" w:lineRule="auto"/>
        <w:rPr>
          <w:b/>
          <w:sz w:val="20"/>
          <w:szCs w:val="20"/>
        </w:rPr>
      </w:pPr>
      <w:r>
        <w:rPr>
          <w:b/>
          <w:noProof/>
          <w:sz w:val="20"/>
          <w:szCs w:val="20"/>
        </w:rPr>
        <w:lastRenderedPageBreak/>
        <w:drawing>
          <wp:inline distT="0" distB="0" distL="0" distR="0" wp14:anchorId="1CC5C853" wp14:editId="6AA2D73D">
            <wp:extent cx="5274310" cy="429577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_00.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295775"/>
                    </a:xfrm>
                    <a:prstGeom prst="rect">
                      <a:avLst/>
                    </a:prstGeom>
                  </pic:spPr>
                </pic:pic>
              </a:graphicData>
            </a:graphic>
          </wp:inline>
        </w:drawing>
      </w:r>
    </w:p>
    <w:p w14:paraId="6A9DDD6C" w14:textId="4C858D38" w:rsidR="00E075AB" w:rsidRPr="00E075AB" w:rsidRDefault="00E075AB" w:rsidP="00E075AB">
      <w:pPr>
        <w:pStyle w:val="Figurecaption"/>
        <w:spacing w:before="0" w:line="480" w:lineRule="auto"/>
        <w:rPr>
          <w:sz w:val="20"/>
          <w:szCs w:val="20"/>
        </w:rPr>
      </w:pPr>
      <w:r w:rsidRPr="001A782E">
        <w:rPr>
          <w:b/>
          <w:sz w:val="20"/>
          <w:szCs w:val="20"/>
        </w:rPr>
        <w:t>Fig</w:t>
      </w:r>
      <w:r>
        <w:rPr>
          <w:b/>
          <w:sz w:val="20"/>
          <w:szCs w:val="20"/>
        </w:rPr>
        <w:t>. S</w:t>
      </w:r>
      <w:r w:rsidRPr="001A782E">
        <w:rPr>
          <w:b/>
          <w:sz w:val="20"/>
          <w:szCs w:val="20"/>
        </w:rPr>
        <w:t>3</w:t>
      </w:r>
      <w:r w:rsidRPr="001A782E">
        <w:rPr>
          <w:sz w:val="20"/>
          <w:szCs w:val="20"/>
        </w:rPr>
        <w:t xml:space="preserve"> (A) Immunofluorescence of LC3 (green) and DRP1 (red) in spinal cord </w:t>
      </w:r>
      <w:r w:rsidR="002C2E58" w:rsidRPr="001A782E">
        <w:rPr>
          <w:sz w:val="20"/>
          <w:szCs w:val="20"/>
        </w:rPr>
        <w:t>cross-sections</w:t>
      </w:r>
      <w:r w:rsidRPr="001A782E">
        <w:rPr>
          <w:sz w:val="20"/>
          <w:szCs w:val="20"/>
        </w:rPr>
        <w:t xml:space="preserve"> from rats subjected to ACR for four weeks. White dotted lines outline α motor neurons and white solid lines are the region of interest (ROI) for </w:t>
      </w:r>
      <w:proofErr w:type="spellStart"/>
      <w:r w:rsidRPr="001A782E">
        <w:rPr>
          <w:sz w:val="20"/>
          <w:szCs w:val="20"/>
        </w:rPr>
        <w:t>gray</w:t>
      </w:r>
      <w:proofErr w:type="spellEnd"/>
      <w:r w:rsidRPr="001A782E">
        <w:rPr>
          <w:sz w:val="20"/>
          <w:szCs w:val="20"/>
        </w:rPr>
        <w:t xml:space="preserve"> intensity analysis of red and green channels. Scale bar, 20 µm.</w:t>
      </w:r>
      <w:r>
        <w:rPr>
          <w:sz w:val="20"/>
          <w:szCs w:val="20"/>
        </w:rPr>
        <w:t xml:space="preserve"> (B) </w:t>
      </w:r>
      <w:r w:rsidRPr="0036140E">
        <w:rPr>
          <w:sz w:val="20"/>
          <w:szCs w:val="20"/>
        </w:rPr>
        <w:t>Western blotting analysis of lysosomal function-related proteins</w:t>
      </w:r>
      <w:r>
        <w:rPr>
          <w:sz w:val="20"/>
          <w:szCs w:val="20"/>
        </w:rPr>
        <w:t xml:space="preserve">. n=6. *, </w:t>
      </w:r>
      <w:r w:rsidRPr="00661DE2">
        <w:rPr>
          <w:sz w:val="20"/>
          <w:szCs w:val="20"/>
        </w:rPr>
        <w:t>p&lt;0.05</w:t>
      </w:r>
      <w:r>
        <w:rPr>
          <w:sz w:val="20"/>
          <w:szCs w:val="20"/>
        </w:rPr>
        <w:t xml:space="preserve">; **, </w:t>
      </w:r>
      <w:r w:rsidRPr="00661DE2">
        <w:rPr>
          <w:sz w:val="20"/>
          <w:szCs w:val="20"/>
        </w:rPr>
        <w:t>p&lt;0.0</w:t>
      </w:r>
      <w:r>
        <w:rPr>
          <w:sz w:val="20"/>
          <w:szCs w:val="20"/>
        </w:rPr>
        <w:t xml:space="preserve">1; ***, </w:t>
      </w:r>
      <w:r w:rsidRPr="00661DE2">
        <w:rPr>
          <w:sz w:val="20"/>
          <w:szCs w:val="20"/>
        </w:rPr>
        <w:t>p&lt;0.0</w:t>
      </w:r>
      <w:r>
        <w:rPr>
          <w:sz w:val="20"/>
          <w:szCs w:val="20"/>
        </w:rPr>
        <w:t xml:space="preserve">01 </w:t>
      </w:r>
      <w:r w:rsidRPr="004423D1">
        <w:rPr>
          <w:sz w:val="20"/>
          <w:szCs w:val="20"/>
        </w:rPr>
        <w:t>compared to corresponding controls</w:t>
      </w:r>
      <w:r>
        <w:rPr>
          <w:sz w:val="20"/>
          <w:szCs w:val="20"/>
        </w:rPr>
        <w:t>.</w:t>
      </w:r>
      <w:r>
        <w:rPr>
          <w:b/>
          <w:sz w:val="20"/>
          <w:szCs w:val="20"/>
        </w:rPr>
        <w:br w:type="page"/>
      </w:r>
    </w:p>
    <w:p w14:paraId="45446DF2" w14:textId="77777777" w:rsidR="00E075AB" w:rsidRDefault="00E075AB" w:rsidP="00E075AB">
      <w:pPr>
        <w:pStyle w:val="Figurecaption"/>
        <w:spacing w:before="0" w:line="480" w:lineRule="auto"/>
        <w:rPr>
          <w:b/>
          <w:sz w:val="20"/>
          <w:szCs w:val="20"/>
        </w:rPr>
      </w:pPr>
      <w:r>
        <w:rPr>
          <w:b/>
          <w:noProof/>
          <w:sz w:val="20"/>
          <w:szCs w:val="20"/>
        </w:rPr>
        <w:lastRenderedPageBreak/>
        <w:drawing>
          <wp:inline distT="0" distB="0" distL="0" distR="0" wp14:anchorId="04283D1E" wp14:editId="16BD6857">
            <wp:extent cx="5274310" cy="4944745"/>
            <wp:effectExtent l="0" t="0" r="254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4_00.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944745"/>
                    </a:xfrm>
                    <a:prstGeom prst="rect">
                      <a:avLst/>
                    </a:prstGeom>
                  </pic:spPr>
                </pic:pic>
              </a:graphicData>
            </a:graphic>
          </wp:inline>
        </w:drawing>
      </w:r>
    </w:p>
    <w:p w14:paraId="6D3AC476" w14:textId="7B1925CD" w:rsidR="00E075AB" w:rsidRPr="00E075AB" w:rsidRDefault="00E075AB" w:rsidP="00E075AB">
      <w:pPr>
        <w:pStyle w:val="Figurecaption"/>
        <w:spacing w:before="0" w:line="480" w:lineRule="auto"/>
        <w:rPr>
          <w:sz w:val="20"/>
          <w:szCs w:val="20"/>
        </w:rPr>
      </w:pPr>
      <w:r w:rsidRPr="001A782E">
        <w:rPr>
          <w:b/>
          <w:sz w:val="20"/>
          <w:szCs w:val="20"/>
        </w:rPr>
        <w:t>Fig</w:t>
      </w:r>
      <w:r>
        <w:rPr>
          <w:b/>
          <w:sz w:val="20"/>
          <w:szCs w:val="20"/>
        </w:rPr>
        <w:t>. S</w:t>
      </w:r>
      <w:r w:rsidRPr="001A782E">
        <w:rPr>
          <w:b/>
          <w:sz w:val="20"/>
          <w:szCs w:val="20"/>
        </w:rPr>
        <w:t>4</w:t>
      </w:r>
      <w:r w:rsidRPr="001A782E">
        <w:rPr>
          <w:sz w:val="20"/>
          <w:szCs w:val="20"/>
        </w:rPr>
        <w:t xml:space="preserve"> (A) Immunofluorescence of PINK1 (green) and Tom20 (red), and (B) LC3 (green) and Tim23 (red) in N2a cells with ACR treated for 24 hours.</w:t>
      </w:r>
      <w:r w:rsidR="002C2E58">
        <w:rPr>
          <w:sz w:val="20"/>
          <w:szCs w:val="20"/>
        </w:rPr>
        <w:t xml:space="preserve"> </w:t>
      </w:r>
      <w:r w:rsidRPr="001A782E">
        <w:rPr>
          <w:sz w:val="20"/>
          <w:szCs w:val="20"/>
        </w:rPr>
        <w:t xml:space="preserve">White solid lines are the region of interest (ROI) for </w:t>
      </w:r>
      <w:proofErr w:type="spellStart"/>
      <w:r w:rsidRPr="001A782E">
        <w:rPr>
          <w:sz w:val="20"/>
          <w:szCs w:val="20"/>
        </w:rPr>
        <w:t>gray</w:t>
      </w:r>
      <w:proofErr w:type="spellEnd"/>
      <w:r w:rsidRPr="001A782E">
        <w:rPr>
          <w:sz w:val="20"/>
          <w:szCs w:val="20"/>
        </w:rPr>
        <w:t xml:space="preserve"> intensity analysis of red and green channels. Black arrows in ROI </w:t>
      </w:r>
      <w:proofErr w:type="spellStart"/>
      <w:r w:rsidRPr="001A782E">
        <w:rPr>
          <w:sz w:val="20"/>
          <w:szCs w:val="20"/>
        </w:rPr>
        <w:t>plotProfiles</w:t>
      </w:r>
      <w:proofErr w:type="spellEnd"/>
      <w:r w:rsidRPr="001A782E">
        <w:rPr>
          <w:sz w:val="20"/>
          <w:szCs w:val="20"/>
        </w:rPr>
        <w:t xml:space="preserve"> indicate overlapped points, and black arrowheads indicate non-co-located points. The calculation of the Pearson's R value is based on the entire image, and the scatterplot is placed to the right of the corresponding image. Scale bar, 50 µm.</w:t>
      </w:r>
      <w:r>
        <w:rPr>
          <w:b/>
          <w:sz w:val="20"/>
          <w:szCs w:val="20"/>
        </w:rPr>
        <w:br w:type="page"/>
      </w:r>
    </w:p>
    <w:p w14:paraId="028FE41F" w14:textId="77777777" w:rsidR="00E075AB" w:rsidRDefault="00E075AB" w:rsidP="00E075AB">
      <w:pPr>
        <w:pStyle w:val="Figurecaption"/>
        <w:spacing w:before="0" w:line="480" w:lineRule="auto"/>
        <w:rPr>
          <w:b/>
          <w:sz w:val="20"/>
          <w:szCs w:val="20"/>
        </w:rPr>
      </w:pPr>
      <w:r>
        <w:rPr>
          <w:b/>
          <w:noProof/>
          <w:sz w:val="20"/>
          <w:szCs w:val="20"/>
        </w:rPr>
        <w:lastRenderedPageBreak/>
        <w:drawing>
          <wp:inline distT="0" distB="0" distL="0" distR="0" wp14:anchorId="7B588D2C" wp14:editId="0F2CBA56">
            <wp:extent cx="5274310" cy="55378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_00.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537835"/>
                    </a:xfrm>
                    <a:prstGeom prst="rect">
                      <a:avLst/>
                    </a:prstGeom>
                  </pic:spPr>
                </pic:pic>
              </a:graphicData>
            </a:graphic>
          </wp:inline>
        </w:drawing>
      </w:r>
    </w:p>
    <w:p w14:paraId="652F3979" w14:textId="652988DB" w:rsidR="003D41D4" w:rsidRPr="00E075AB" w:rsidRDefault="00E075AB" w:rsidP="00E075AB">
      <w:pPr>
        <w:pStyle w:val="Figurecaption"/>
        <w:spacing w:before="0" w:line="480" w:lineRule="auto"/>
        <w:rPr>
          <w:sz w:val="20"/>
          <w:szCs w:val="20"/>
        </w:rPr>
      </w:pPr>
      <w:r w:rsidRPr="001A782E">
        <w:rPr>
          <w:b/>
          <w:sz w:val="20"/>
          <w:szCs w:val="20"/>
        </w:rPr>
        <w:t>Fig</w:t>
      </w:r>
      <w:r>
        <w:rPr>
          <w:b/>
          <w:sz w:val="20"/>
          <w:szCs w:val="20"/>
        </w:rPr>
        <w:t>. S</w:t>
      </w:r>
      <w:r w:rsidRPr="001A782E">
        <w:rPr>
          <w:b/>
          <w:sz w:val="20"/>
          <w:szCs w:val="20"/>
        </w:rPr>
        <w:t>5</w:t>
      </w:r>
      <w:r w:rsidRPr="001A782E">
        <w:rPr>
          <w:sz w:val="20"/>
          <w:szCs w:val="20"/>
        </w:rPr>
        <w:t xml:space="preserve"> (A) Schematic diagram of RAPA intervention experiment. The red arrows indicate time points for the RAPA administration. (B) Western blotting analysis of mitochondrial fission-related proteins in the spinal cord from rats with RAPA intervened or not. n=6. (C) Immunofluorescence of Parkin (green) and SARM1 (red) in spinal cord </w:t>
      </w:r>
      <w:r w:rsidR="002C2E58" w:rsidRPr="001A782E">
        <w:rPr>
          <w:sz w:val="20"/>
          <w:szCs w:val="20"/>
        </w:rPr>
        <w:t>cross-sections</w:t>
      </w:r>
      <w:r w:rsidRPr="001A782E">
        <w:rPr>
          <w:sz w:val="20"/>
          <w:szCs w:val="20"/>
        </w:rPr>
        <w:t xml:space="preserve"> from rats with RAPA intervened or not. White dotted lines outline α motor neurons. Scale bar, 20 µm.</w:t>
      </w:r>
      <w:r>
        <w:rPr>
          <w:sz w:val="20"/>
          <w:szCs w:val="20"/>
        </w:rPr>
        <w:t xml:space="preserve"> *, </w:t>
      </w:r>
      <w:r w:rsidRPr="00661DE2">
        <w:rPr>
          <w:sz w:val="20"/>
          <w:szCs w:val="20"/>
        </w:rPr>
        <w:t>p&lt;0.05</w:t>
      </w:r>
      <w:r>
        <w:rPr>
          <w:sz w:val="20"/>
          <w:szCs w:val="20"/>
        </w:rPr>
        <w:t xml:space="preserve">; **, </w:t>
      </w:r>
      <w:r w:rsidRPr="00661DE2">
        <w:rPr>
          <w:sz w:val="20"/>
          <w:szCs w:val="20"/>
        </w:rPr>
        <w:t>p&lt;0.0</w:t>
      </w:r>
      <w:r>
        <w:rPr>
          <w:sz w:val="20"/>
          <w:szCs w:val="20"/>
        </w:rPr>
        <w:t xml:space="preserve">1; ***, </w:t>
      </w:r>
      <w:r w:rsidRPr="00661DE2">
        <w:rPr>
          <w:sz w:val="20"/>
          <w:szCs w:val="20"/>
        </w:rPr>
        <w:t>p&lt;0.0</w:t>
      </w:r>
      <w:r>
        <w:rPr>
          <w:sz w:val="20"/>
          <w:szCs w:val="20"/>
        </w:rPr>
        <w:t xml:space="preserve">01 </w:t>
      </w:r>
      <w:r w:rsidRPr="004423D1">
        <w:rPr>
          <w:sz w:val="20"/>
          <w:szCs w:val="20"/>
        </w:rPr>
        <w:t>compared to corresponding controls</w:t>
      </w:r>
      <w:r>
        <w:rPr>
          <w:sz w:val="20"/>
          <w:szCs w:val="20"/>
        </w:rPr>
        <w:t>.</w:t>
      </w:r>
      <w:r>
        <w:rPr>
          <w:rFonts w:hint="eastAsia"/>
          <w:sz w:val="20"/>
          <w:szCs w:val="20"/>
          <w:lang w:eastAsia="zh-CN"/>
        </w:rPr>
        <w:t xml:space="preserve"> </w:t>
      </w:r>
      <w:r>
        <w:rPr>
          <w:sz w:val="20"/>
          <w:szCs w:val="20"/>
        </w:rPr>
        <w:t xml:space="preserve">#, </w:t>
      </w:r>
      <w:r w:rsidRPr="00661DE2">
        <w:rPr>
          <w:sz w:val="20"/>
          <w:szCs w:val="20"/>
        </w:rPr>
        <w:t>p&lt;0.05</w:t>
      </w:r>
      <w:r>
        <w:rPr>
          <w:sz w:val="20"/>
          <w:szCs w:val="20"/>
        </w:rPr>
        <w:t xml:space="preserve">; ##, </w:t>
      </w:r>
      <w:r w:rsidRPr="00661DE2">
        <w:rPr>
          <w:sz w:val="20"/>
          <w:szCs w:val="20"/>
        </w:rPr>
        <w:t>p&lt;0.0</w:t>
      </w:r>
      <w:r>
        <w:rPr>
          <w:sz w:val="20"/>
          <w:szCs w:val="20"/>
        </w:rPr>
        <w:t xml:space="preserve">1; ###, </w:t>
      </w:r>
      <w:r w:rsidRPr="00661DE2">
        <w:rPr>
          <w:sz w:val="20"/>
          <w:szCs w:val="20"/>
        </w:rPr>
        <w:t>p&lt;0.0</w:t>
      </w:r>
      <w:r>
        <w:rPr>
          <w:sz w:val="20"/>
          <w:szCs w:val="20"/>
        </w:rPr>
        <w:t xml:space="preserve">01, </w:t>
      </w:r>
      <w:r w:rsidRPr="006A6984">
        <w:rPr>
          <w:sz w:val="20"/>
          <w:szCs w:val="20"/>
          <w:lang w:eastAsia="zh-CN"/>
        </w:rPr>
        <w:t>comparison</w:t>
      </w:r>
      <w:r>
        <w:rPr>
          <w:sz w:val="20"/>
          <w:szCs w:val="20"/>
          <w:lang w:eastAsia="zh-CN"/>
        </w:rPr>
        <w:t xml:space="preserve"> between groups</w:t>
      </w:r>
      <w:r w:rsidRPr="006A6984">
        <w:rPr>
          <w:sz w:val="20"/>
          <w:szCs w:val="20"/>
          <w:lang w:eastAsia="zh-CN"/>
        </w:rPr>
        <w:t xml:space="preserve"> with</w:t>
      </w:r>
      <w:r>
        <w:rPr>
          <w:sz w:val="20"/>
          <w:szCs w:val="20"/>
          <w:lang w:eastAsia="zh-CN"/>
        </w:rPr>
        <w:t xml:space="preserve"> </w:t>
      </w:r>
      <w:r w:rsidRPr="00661DE2">
        <w:rPr>
          <w:sz w:val="20"/>
          <w:szCs w:val="20"/>
        </w:rPr>
        <w:t>RAPA</w:t>
      </w:r>
      <w:r w:rsidRPr="006A6984">
        <w:rPr>
          <w:sz w:val="20"/>
          <w:szCs w:val="20"/>
          <w:lang w:eastAsia="zh-CN"/>
        </w:rPr>
        <w:t xml:space="preserve"> intervention</w:t>
      </w:r>
      <w:r>
        <w:rPr>
          <w:sz w:val="20"/>
          <w:szCs w:val="20"/>
          <w:lang w:eastAsia="zh-CN"/>
        </w:rPr>
        <w:t xml:space="preserve"> </w:t>
      </w:r>
      <w:r w:rsidRPr="008F0DAD">
        <w:rPr>
          <w:sz w:val="20"/>
          <w:szCs w:val="20"/>
          <w:lang w:eastAsia="zh-CN"/>
        </w:rPr>
        <w:t>or not</w:t>
      </w:r>
      <w:r w:rsidRPr="006A6984">
        <w:rPr>
          <w:sz w:val="20"/>
          <w:szCs w:val="20"/>
          <w:lang w:eastAsia="zh-CN"/>
        </w:rPr>
        <w:t>.</w:t>
      </w:r>
      <w:bookmarkStart w:id="0" w:name="_GoBack"/>
      <w:bookmarkEnd w:id="0"/>
    </w:p>
    <w:sectPr w:rsidR="003D41D4" w:rsidRPr="00E075AB" w:rsidSect="00E075AB">
      <w:headerReference w:type="default" r:id="rId1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7D85A" w14:textId="77777777" w:rsidR="00A86B68" w:rsidRDefault="00A86B68" w:rsidP="00E075AB">
      <w:r>
        <w:separator/>
      </w:r>
    </w:p>
  </w:endnote>
  <w:endnote w:type="continuationSeparator" w:id="0">
    <w:p w14:paraId="73B588A4" w14:textId="77777777" w:rsidR="00A86B68" w:rsidRDefault="00A86B68" w:rsidP="00E0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5D460" w14:textId="77777777" w:rsidR="00A86B68" w:rsidRDefault="00A86B68" w:rsidP="00E075AB">
      <w:r>
        <w:separator/>
      </w:r>
    </w:p>
  </w:footnote>
  <w:footnote w:type="continuationSeparator" w:id="0">
    <w:p w14:paraId="0C6791D0" w14:textId="77777777" w:rsidR="00A86B68" w:rsidRDefault="00A86B68" w:rsidP="00E0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14:paraId="72CCD481" w14:textId="77777777" w:rsidR="00E075AB" w:rsidRDefault="00E075AB" w:rsidP="00E075AB">
        <w:pPr>
          <w:jc w:val="right"/>
        </w:pPr>
        <w:r>
          <w:rPr>
            <w:lang w:val="zh-CN"/>
          </w:rPr>
          <w:t xml:space="preserve"> </w:t>
        </w:r>
        <w:r>
          <w:rPr>
            <w:sz w:val="24"/>
            <w:szCs w:val="24"/>
          </w:rPr>
          <w:fldChar w:fldCharType="begin"/>
        </w:r>
        <w:r>
          <w:instrText>PAGE</w:instrText>
        </w:r>
        <w:r>
          <w:rPr>
            <w:sz w:val="24"/>
            <w:szCs w:val="24"/>
          </w:rPr>
          <w:fldChar w:fldCharType="separate"/>
        </w:r>
        <w:r>
          <w:rPr>
            <w:lang w:val="zh-CN"/>
          </w:rPr>
          <w:t>2</w:t>
        </w:r>
        <w:r>
          <w:rPr>
            <w:sz w:val="24"/>
            <w:szCs w:val="24"/>
          </w:rPr>
          <w:fldChar w:fldCharType="end"/>
        </w:r>
        <w:r>
          <w:rPr>
            <w:lang w:val="zh-CN"/>
          </w:rPr>
          <w:t xml:space="preserve"> / </w:t>
        </w:r>
        <w:r>
          <w:rPr>
            <w:sz w:val="24"/>
            <w:szCs w:val="24"/>
          </w:rPr>
          <w:fldChar w:fldCharType="begin"/>
        </w:r>
        <w:r>
          <w:instrText>NUMPAGES</w:instrText>
        </w:r>
        <w:r>
          <w:rPr>
            <w:sz w:val="24"/>
            <w:szCs w:val="24"/>
          </w:rPr>
          <w:fldChar w:fldCharType="separate"/>
        </w:r>
        <w:r>
          <w:rPr>
            <w:lang w:val="zh-CN"/>
          </w:rPr>
          <w:t>2</w:t>
        </w:r>
        <w:r>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AB"/>
    <w:rsid w:val="002C2E58"/>
    <w:rsid w:val="003D41D4"/>
    <w:rsid w:val="00891CD3"/>
    <w:rsid w:val="00A86B68"/>
    <w:rsid w:val="00E07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85D3A"/>
  <w15:chartTrackingRefBased/>
  <w15:docId w15:val="{549F5B30-FBDA-4508-8C30-C3853C64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gurecaption">
    <w:name w:val="Figure caption"/>
    <w:basedOn w:val="a"/>
    <w:next w:val="a"/>
    <w:qFormat/>
    <w:rsid w:val="00E075AB"/>
    <w:pPr>
      <w:widowControl/>
      <w:spacing w:before="240" w:line="360" w:lineRule="auto"/>
      <w:jc w:val="left"/>
    </w:pPr>
    <w:rPr>
      <w:rFonts w:ascii="Times New Roman" w:hAnsi="Times New Roman" w:cs="Times New Roman"/>
      <w:kern w:val="0"/>
      <w:sz w:val="24"/>
      <w:szCs w:val="24"/>
      <w:lang w:val="en-GB" w:eastAsia="en-GB"/>
    </w:rPr>
  </w:style>
  <w:style w:type="paragraph" w:styleId="a3">
    <w:name w:val="Balloon Text"/>
    <w:basedOn w:val="a"/>
    <w:link w:val="a4"/>
    <w:uiPriority w:val="99"/>
    <w:semiHidden/>
    <w:unhideWhenUsed/>
    <w:rsid w:val="00E075AB"/>
    <w:rPr>
      <w:sz w:val="18"/>
      <w:szCs w:val="18"/>
    </w:rPr>
  </w:style>
  <w:style w:type="character" w:customStyle="1" w:styleId="a4">
    <w:name w:val="批注框文本 字符"/>
    <w:basedOn w:val="a0"/>
    <w:link w:val="a3"/>
    <w:uiPriority w:val="99"/>
    <w:semiHidden/>
    <w:rsid w:val="00E075AB"/>
    <w:rPr>
      <w:sz w:val="18"/>
      <w:szCs w:val="18"/>
    </w:rPr>
  </w:style>
  <w:style w:type="character" w:styleId="a5">
    <w:name w:val="line number"/>
    <w:basedOn w:val="a0"/>
    <w:uiPriority w:val="99"/>
    <w:semiHidden/>
    <w:unhideWhenUsed/>
    <w:rsid w:val="00E075AB"/>
  </w:style>
  <w:style w:type="paragraph" w:styleId="a6">
    <w:name w:val="header"/>
    <w:basedOn w:val="a"/>
    <w:link w:val="a7"/>
    <w:uiPriority w:val="99"/>
    <w:unhideWhenUsed/>
    <w:rsid w:val="00E075A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075AB"/>
    <w:rPr>
      <w:sz w:val="18"/>
      <w:szCs w:val="18"/>
    </w:rPr>
  </w:style>
  <w:style w:type="paragraph" w:styleId="a8">
    <w:name w:val="footer"/>
    <w:basedOn w:val="a"/>
    <w:link w:val="a9"/>
    <w:uiPriority w:val="99"/>
    <w:unhideWhenUsed/>
    <w:rsid w:val="00E075AB"/>
    <w:pPr>
      <w:tabs>
        <w:tab w:val="center" w:pos="4153"/>
        <w:tab w:val="right" w:pos="8306"/>
      </w:tabs>
      <w:snapToGrid w:val="0"/>
      <w:jc w:val="left"/>
    </w:pPr>
    <w:rPr>
      <w:sz w:val="18"/>
      <w:szCs w:val="18"/>
    </w:rPr>
  </w:style>
  <w:style w:type="character" w:customStyle="1" w:styleId="a9">
    <w:name w:val="页脚 字符"/>
    <w:basedOn w:val="a0"/>
    <w:link w:val="a8"/>
    <w:uiPriority w:val="99"/>
    <w:rsid w:val="00E075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帅 王</dc:creator>
  <cp:keywords/>
  <dc:description/>
  <cp:lastModifiedBy>帅 王</cp:lastModifiedBy>
  <cp:revision>2</cp:revision>
  <dcterms:created xsi:type="dcterms:W3CDTF">2022-02-21T11:40:00Z</dcterms:created>
  <dcterms:modified xsi:type="dcterms:W3CDTF">2022-02-22T06:00:00Z</dcterms:modified>
</cp:coreProperties>
</file>