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8874" w14:textId="77777777" w:rsidR="007746DE" w:rsidRPr="00336FC5" w:rsidRDefault="007746DE" w:rsidP="007746DE">
      <w:pPr>
        <w:pStyle w:val="2"/>
      </w:pPr>
      <w:r w:rsidRPr="00336FC5">
        <w:t>Supplementary Figures</w:t>
      </w:r>
    </w:p>
    <w:p w14:paraId="61C57FB6" w14:textId="77777777" w:rsidR="007746DE" w:rsidRPr="004C6E08" w:rsidRDefault="007746DE" w:rsidP="007746DE">
      <w:pPr>
        <w:jc w:val="left"/>
        <w:rPr>
          <w:rFonts w:cs="Times New Roman"/>
          <w:sz w:val="20"/>
          <w:szCs w:val="20"/>
        </w:rPr>
      </w:pPr>
      <w:r w:rsidRPr="0029530A">
        <w:rPr>
          <w:noProof/>
          <w:lang w:val="es-MX" w:eastAsia="es-MX"/>
        </w:rPr>
        <w:drawing>
          <wp:inline distT="0" distB="0" distL="0" distR="0" wp14:anchorId="58B220BF" wp14:editId="449F2045">
            <wp:extent cx="5274310" cy="691197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1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16472" w14:textId="77777777" w:rsidR="007746DE" w:rsidRDefault="007746DE" w:rsidP="007746DE">
      <w:pPr>
        <w:rPr>
          <w:sz w:val="20"/>
          <w:szCs w:val="20"/>
        </w:rPr>
      </w:pPr>
      <w:r w:rsidRPr="0029530A">
        <w:rPr>
          <w:rFonts w:cs="Times New Roman"/>
          <w:b/>
          <w:bCs/>
          <w:sz w:val="20"/>
          <w:szCs w:val="20"/>
        </w:rPr>
        <w:t>Fig.S</w:t>
      </w:r>
      <w:r>
        <w:rPr>
          <w:rFonts w:cs="Times New Roman"/>
          <w:b/>
          <w:bCs/>
          <w:sz w:val="20"/>
          <w:szCs w:val="20"/>
        </w:rPr>
        <w:t>1</w:t>
      </w:r>
      <w:r w:rsidRPr="004C6E08">
        <w:rPr>
          <w:rFonts w:cs="Times New Roman"/>
          <w:sz w:val="20"/>
          <w:szCs w:val="20"/>
        </w:rPr>
        <w:t xml:space="preserve"> Genomic prediction accuracies of ER, SPH and GY in </w:t>
      </w:r>
      <w:r>
        <w:rPr>
          <w:sz w:val="20"/>
          <w:szCs w:val="20"/>
        </w:rPr>
        <w:t>NCCP</w:t>
      </w:r>
      <w:r w:rsidRPr="004C6E08">
        <w:rPr>
          <w:sz w:val="20"/>
          <w:szCs w:val="20"/>
        </w:rPr>
        <w:t xml:space="preserve"> under natural drought conditions</w:t>
      </w:r>
      <w:r w:rsidRPr="004C6E08">
        <w:rPr>
          <w:rFonts w:cs="Times New Roman"/>
          <w:sz w:val="20"/>
          <w:szCs w:val="20"/>
        </w:rPr>
        <w:t>, when the training population size</w:t>
      </w:r>
      <w:r w:rsidRPr="004C6E08">
        <w:rPr>
          <w:rFonts w:cs="Times New Roman" w:hint="eastAsia"/>
          <w:sz w:val="20"/>
          <w:szCs w:val="20"/>
        </w:rPr>
        <w:t xml:space="preserve"> </w:t>
      </w:r>
      <w:r w:rsidRPr="004C6E08">
        <w:rPr>
          <w:rFonts w:cs="Times New Roman"/>
          <w:sz w:val="20"/>
          <w:szCs w:val="20"/>
        </w:rPr>
        <w:t>was set from 10 to 90% of DArT total genotypes, with an interval of 10%. Panel (</w:t>
      </w:r>
      <w:r>
        <w:rPr>
          <w:rFonts w:cs="Times New Roman"/>
          <w:sz w:val="20"/>
          <w:szCs w:val="20"/>
        </w:rPr>
        <w:t>a</w:t>
      </w:r>
      <w:r w:rsidRPr="004C6E08">
        <w:rPr>
          <w:rFonts w:cs="Times New Roman"/>
          <w:sz w:val="20"/>
          <w:szCs w:val="20"/>
        </w:rPr>
        <w:t>) 19ER:</w:t>
      </w:r>
      <w:r w:rsidRPr="004C6E08">
        <w:rPr>
          <w:sz w:val="20"/>
          <w:szCs w:val="20"/>
        </w:rPr>
        <w:t xml:space="preserve"> emergence rate (ER) was measured in 19FX (2019 F</w:t>
      </w:r>
      <w:r w:rsidRPr="004C6E08">
        <w:rPr>
          <w:rFonts w:hint="eastAsia"/>
          <w:sz w:val="20"/>
          <w:szCs w:val="20"/>
        </w:rPr>
        <w:t>uxin</w:t>
      </w:r>
      <w:r w:rsidRPr="004C6E08">
        <w:rPr>
          <w:sz w:val="20"/>
          <w:szCs w:val="20"/>
        </w:rPr>
        <w:t>) under a natural drought environment</w:t>
      </w:r>
      <w:r w:rsidRPr="004C6E08">
        <w:rPr>
          <w:rFonts w:cs="Times New Roman"/>
          <w:sz w:val="20"/>
          <w:szCs w:val="20"/>
        </w:rPr>
        <w:t>; (</w:t>
      </w:r>
      <w:r>
        <w:rPr>
          <w:rFonts w:cs="Times New Roman"/>
          <w:sz w:val="20"/>
          <w:szCs w:val="20"/>
        </w:rPr>
        <w:t>b</w:t>
      </w:r>
      <w:r w:rsidRPr="004C6E08">
        <w:rPr>
          <w:rFonts w:cs="Times New Roman"/>
          <w:sz w:val="20"/>
          <w:szCs w:val="20"/>
        </w:rPr>
        <w:t>) 20ER:</w:t>
      </w:r>
      <w:r w:rsidRPr="004C6E08">
        <w:rPr>
          <w:sz w:val="20"/>
          <w:szCs w:val="20"/>
        </w:rPr>
        <w:t xml:space="preserve"> emergence rate (ER) was measured in 20FX (2020 F</w:t>
      </w:r>
      <w:r w:rsidRPr="004C6E08">
        <w:rPr>
          <w:rFonts w:hint="eastAsia"/>
          <w:sz w:val="20"/>
          <w:szCs w:val="20"/>
        </w:rPr>
        <w:t>uxin</w:t>
      </w:r>
      <w:r w:rsidRPr="004C6E08">
        <w:rPr>
          <w:sz w:val="20"/>
          <w:szCs w:val="20"/>
        </w:rPr>
        <w:t xml:space="preserve">) under a natural </w:t>
      </w:r>
      <w:r w:rsidRPr="004C6E08">
        <w:rPr>
          <w:sz w:val="20"/>
          <w:szCs w:val="20"/>
        </w:rPr>
        <w:lastRenderedPageBreak/>
        <w:t>drought environment</w:t>
      </w:r>
      <w:r w:rsidRPr="004C6E08">
        <w:rPr>
          <w:rFonts w:cs="Times New Roman"/>
          <w:sz w:val="20"/>
          <w:szCs w:val="20"/>
        </w:rPr>
        <w:t>; (</w:t>
      </w:r>
      <w:r>
        <w:rPr>
          <w:rFonts w:cs="Times New Roman"/>
          <w:sz w:val="20"/>
          <w:szCs w:val="20"/>
        </w:rPr>
        <w:t>c</w:t>
      </w:r>
      <w:r w:rsidRPr="004C6E08">
        <w:rPr>
          <w:rFonts w:cs="Times New Roman"/>
          <w:sz w:val="20"/>
          <w:szCs w:val="20"/>
        </w:rPr>
        <w:t>) 19SPH:</w:t>
      </w:r>
      <w:r w:rsidRPr="004C6E08">
        <w:rPr>
          <w:sz w:val="20"/>
          <w:szCs w:val="20"/>
        </w:rPr>
        <w:t xml:space="preserve"> seedling plant height (SPH) was measured in 19FX (2019 F</w:t>
      </w:r>
      <w:r w:rsidRPr="004C6E08">
        <w:rPr>
          <w:rFonts w:hint="eastAsia"/>
          <w:sz w:val="20"/>
          <w:szCs w:val="20"/>
        </w:rPr>
        <w:t>uxin</w:t>
      </w:r>
      <w:r w:rsidRPr="004C6E08">
        <w:rPr>
          <w:sz w:val="20"/>
          <w:szCs w:val="20"/>
        </w:rPr>
        <w:t>) under a natural drought environment</w:t>
      </w:r>
      <w:r w:rsidRPr="004C6E08">
        <w:rPr>
          <w:rFonts w:cs="Times New Roman"/>
          <w:sz w:val="20"/>
          <w:szCs w:val="20"/>
        </w:rPr>
        <w:t>; (</w:t>
      </w:r>
      <w:r>
        <w:rPr>
          <w:rFonts w:cs="Times New Roman"/>
          <w:sz w:val="20"/>
          <w:szCs w:val="20"/>
        </w:rPr>
        <w:t>d</w:t>
      </w:r>
      <w:r w:rsidRPr="004C6E08">
        <w:rPr>
          <w:rFonts w:cs="Times New Roman"/>
          <w:sz w:val="20"/>
          <w:szCs w:val="20"/>
        </w:rPr>
        <w:t xml:space="preserve">) 20SPH: </w:t>
      </w:r>
      <w:r w:rsidRPr="004C6E08">
        <w:rPr>
          <w:sz w:val="20"/>
          <w:szCs w:val="20"/>
        </w:rPr>
        <w:t>seedling plant height (SPH) was measured in 20FX (2020 F</w:t>
      </w:r>
      <w:r w:rsidRPr="004C6E08">
        <w:rPr>
          <w:rFonts w:hint="eastAsia"/>
          <w:sz w:val="20"/>
          <w:szCs w:val="20"/>
        </w:rPr>
        <w:t>uxin</w:t>
      </w:r>
      <w:r w:rsidRPr="004C6E08">
        <w:rPr>
          <w:sz w:val="20"/>
          <w:szCs w:val="20"/>
        </w:rPr>
        <w:t>) under a natural drought environment</w:t>
      </w:r>
      <w:r w:rsidRPr="004C6E08">
        <w:rPr>
          <w:rFonts w:cs="Times New Roman"/>
          <w:sz w:val="20"/>
          <w:szCs w:val="20"/>
        </w:rPr>
        <w:t>; (</w:t>
      </w:r>
      <w:r>
        <w:rPr>
          <w:rFonts w:cs="Times New Roman"/>
          <w:sz w:val="20"/>
          <w:szCs w:val="20"/>
        </w:rPr>
        <w:t>e</w:t>
      </w:r>
      <w:r w:rsidRPr="004C6E08">
        <w:rPr>
          <w:rFonts w:cs="Times New Roman"/>
          <w:sz w:val="20"/>
          <w:szCs w:val="20"/>
        </w:rPr>
        <w:t>) 19GY:</w:t>
      </w:r>
      <w:r w:rsidRPr="004C6E08">
        <w:rPr>
          <w:sz w:val="20"/>
          <w:szCs w:val="20"/>
        </w:rPr>
        <w:t xml:space="preserve"> grain yield (GY) was measured in 19FX (2019 F</w:t>
      </w:r>
      <w:r w:rsidRPr="004C6E08">
        <w:rPr>
          <w:rFonts w:hint="eastAsia"/>
          <w:sz w:val="20"/>
          <w:szCs w:val="20"/>
        </w:rPr>
        <w:t>uxin</w:t>
      </w:r>
      <w:r w:rsidRPr="004C6E08">
        <w:rPr>
          <w:sz w:val="20"/>
          <w:szCs w:val="20"/>
        </w:rPr>
        <w:t>) under a natural drought environment</w:t>
      </w:r>
      <w:r w:rsidRPr="004C6E08">
        <w:rPr>
          <w:rFonts w:cs="Times New Roman"/>
          <w:sz w:val="20"/>
          <w:szCs w:val="20"/>
        </w:rPr>
        <w:t>; (</w:t>
      </w:r>
      <w:r>
        <w:rPr>
          <w:rFonts w:cs="Times New Roman"/>
          <w:sz w:val="20"/>
          <w:szCs w:val="20"/>
        </w:rPr>
        <w:t>f</w:t>
      </w:r>
      <w:r w:rsidRPr="004C6E08">
        <w:rPr>
          <w:rFonts w:cs="Times New Roman"/>
          <w:sz w:val="20"/>
          <w:szCs w:val="20"/>
        </w:rPr>
        <w:t>) 20GY:</w:t>
      </w:r>
      <w:r w:rsidRPr="004C6E08">
        <w:rPr>
          <w:sz w:val="20"/>
          <w:szCs w:val="20"/>
        </w:rPr>
        <w:t xml:space="preserve"> grain yield (GY) was measured in 20FX (2020 F</w:t>
      </w:r>
      <w:r w:rsidRPr="004C6E08">
        <w:rPr>
          <w:rFonts w:hint="eastAsia"/>
          <w:sz w:val="20"/>
          <w:szCs w:val="20"/>
        </w:rPr>
        <w:t>uxin</w:t>
      </w:r>
      <w:r w:rsidRPr="004C6E08">
        <w:rPr>
          <w:sz w:val="20"/>
          <w:szCs w:val="20"/>
        </w:rPr>
        <w:t>) under a natural drought environment</w:t>
      </w:r>
      <w:r>
        <w:rPr>
          <w:sz w:val="20"/>
          <w:szCs w:val="20"/>
        </w:rPr>
        <w:t>.</w:t>
      </w:r>
    </w:p>
    <w:p w14:paraId="7474DCE4" w14:textId="2A34040C" w:rsidR="007746DE" w:rsidRDefault="007746D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24B038D" w14:textId="77777777" w:rsidR="007746DE" w:rsidRPr="004C6E08" w:rsidRDefault="007746DE" w:rsidP="007746DE">
      <w:pPr>
        <w:rPr>
          <w:rFonts w:cs="Times New Roman"/>
          <w:sz w:val="20"/>
          <w:szCs w:val="20"/>
        </w:rPr>
      </w:pPr>
      <w:r w:rsidRPr="0029530A">
        <w:rPr>
          <w:noProof/>
          <w:lang w:val="es-MX" w:eastAsia="es-MX"/>
        </w:rPr>
        <w:lastRenderedPageBreak/>
        <w:drawing>
          <wp:inline distT="0" distB="0" distL="0" distR="0" wp14:anchorId="27A5CB96" wp14:editId="1E800F23">
            <wp:extent cx="5274310" cy="68345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3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40147" w14:textId="3C4AA93C" w:rsidR="007746DE" w:rsidRDefault="007746DE" w:rsidP="007746DE">
      <w:pPr>
        <w:rPr>
          <w:sz w:val="20"/>
          <w:szCs w:val="20"/>
        </w:rPr>
      </w:pPr>
      <w:r w:rsidRPr="0029530A">
        <w:rPr>
          <w:rFonts w:cs="Times New Roman"/>
          <w:b/>
          <w:bCs/>
          <w:sz w:val="20"/>
          <w:szCs w:val="20"/>
        </w:rPr>
        <w:t>Fig.S</w:t>
      </w:r>
      <w:r>
        <w:rPr>
          <w:rFonts w:cs="Times New Roman"/>
          <w:b/>
          <w:bCs/>
          <w:sz w:val="20"/>
          <w:szCs w:val="20"/>
        </w:rPr>
        <w:t>2</w:t>
      </w:r>
      <w:r w:rsidRPr="004C6E08">
        <w:rPr>
          <w:rFonts w:cs="Times New Roman"/>
          <w:sz w:val="20"/>
          <w:szCs w:val="20"/>
        </w:rPr>
        <w:t xml:space="preserve"> Genomic prediction accuracies of ER, SPH, and GY in </w:t>
      </w:r>
      <w:r w:rsidRPr="004C6E08">
        <w:rPr>
          <w:sz w:val="20"/>
          <w:szCs w:val="20"/>
        </w:rPr>
        <w:t>under natural drought conditions</w:t>
      </w:r>
      <w:r w:rsidRPr="004C6E08">
        <w:rPr>
          <w:rFonts w:cs="Times New Roman"/>
          <w:sz w:val="20"/>
          <w:szCs w:val="20"/>
        </w:rPr>
        <w:t>, when the training population size</w:t>
      </w:r>
      <w:r w:rsidRPr="004C6E08">
        <w:rPr>
          <w:rFonts w:cs="Times New Roman" w:hint="eastAsia"/>
          <w:sz w:val="20"/>
          <w:szCs w:val="20"/>
        </w:rPr>
        <w:t xml:space="preserve"> </w:t>
      </w:r>
      <w:r w:rsidRPr="004C6E08">
        <w:rPr>
          <w:rFonts w:cs="Times New Roman"/>
          <w:sz w:val="20"/>
          <w:szCs w:val="20"/>
        </w:rPr>
        <w:t>was set from 10 to 90% of GBS total genotypes, with an interval of 10%. Panel (</w:t>
      </w:r>
      <w:r>
        <w:rPr>
          <w:rFonts w:cs="Times New Roman"/>
          <w:sz w:val="20"/>
          <w:szCs w:val="20"/>
        </w:rPr>
        <w:t>a</w:t>
      </w:r>
      <w:r w:rsidRPr="004C6E08">
        <w:rPr>
          <w:rFonts w:cs="Times New Roman"/>
          <w:sz w:val="20"/>
          <w:szCs w:val="20"/>
        </w:rPr>
        <w:t>) 19ER:</w:t>
      </w:r>
      <w:r w:rsidRPr="004C6E08">
        <w:rPr>
          <w:sz w:val="20"/>
          <w:szCs w:val="20"/>
        </w:rPr>
        <w:t xml:space="preserve"> emergence rate (ER) was measured in 19FX (2019 F</w:t>
      </w:r>
      <w:r w:rsidRPr="004C6E08">
        <w:rPr>
          <w:rFonts w:hint="eastAsia"/>
          <w:sz w:val="20"/>
          <w:szCs w:val="20"/>
        </w:rPr>
        <w:t>uxin</w:t>
      </w:r>
      <w:r w:rsidRPr="004C6E08">
        <w:rPr>
          <w:sz w:val="20"/>
          <w:szCs w:val="20"/>
        </w:rPr>
        <w:t>) under a natural drought environment</w:t>
      </w:r>
      <w:r w:rsidRPr="004C6E08">
        <w:rPr>
          <w:rFonts w:cs="Times New Roman"/>
          <w:sz w:val="20"/>
          <w:szCs w:val="20"/>
        </w:rPr>
        <w:t>; (</w:t>
      </w:r>
      <w:r>
        <w:rPr>
          <w:rFonts w:cs="Times New Roman"/>
          <w:sz w:val="20"/>
          <w:szCs w:val="20"/>
        </w:rPr>
        <w:t>b</w:t>
      </w:r>
      <w:r w:rsidRPr="004C6E08">
        <w:rPr>
          <w:rFonts w:cs="Times New Roman"/>
          <w:sz w:val="20"/>
          <w:szCs w:val="20"/>
        </w:rPr>
        <w:t>) 20ER:</w:t>
      </w:r>
      <w:r w:rsidRPr="004C6E08">
        <w:rPr>
          <w:sz w:val="20"/>
          <w:szCs w:val="20"/>
        </w:rPr>
        <w:t xml:space="preserve"> emergence rate (ER) was measured in 20FX (2020 F</w:t>
      </w:r>
      <w:r w:rsidRPr="004C6E08">
        <w:rPr>
          <w:rFonts w:hint="eastAsia"/>
          <w:sz w:val="20"/>
          <w:szCs w:val="20"/>
        </w:rPr>
        <w:t>uxin</w:t>
      </w:r>
      <w:r w:rsidRPr="004C6E08">
        <w:rPr>
          <w:sz w:val="20"/>
          <w:szCs w:val="20"/>
        </w:rPr>
        <w:t>) under a natural drought environment</w:t>
      </w:r>
      <w:r w:rsidRPr="004C6E08">
        <w:rPr>
          <w:rFonts w:cs="Times New Roman"/>
          <w:sz w:val="20"/>
          <w:szCs w:val="20"/>
        </w:rPr>
        <w:t>; (</w:t>
      </w:r>
      <w:r>
        <w:rPr>
          <w:rFonts w:cs="Times New Roman"/>
          <w:sz w:val="20"/>
          <w:szCs w:val="20"/>
        </w:rPr>
        <w:t>c</w:t>
      </w:r>
      <w:r w:rsidRPr="004C6E08">
        <w:rPr>
          <w:rFonts w:cs="Times New Roman"/>
          <w:sz w:val="20"/>
          <w:szCs w:val="20"/>
        </w:rPr>
        <w:t>) 19SPH:</w:t>
      </w:r>
      <w:r w:rsidRPr="004C6E08">
        <w:rPr>
          <w:sz w:val="20"/>
          <w:szCs w:val="20"/>
        </w:rPr>
        <w:t xml:space="preserve"> seedling plant height (SPH) was measured in 19FX (2019 F</w:t>
      </w:r>
      <w:r w:rsidRPr="004C6E08">
        <w:rPr>
          <w:rFonts w:hint="eastAsia"/>
          <w:sz w:val="20"/>
          <w:szCs w:val="20"/>
        </w:rPr>
        <w:t>uxin</w:t>
      </w:r>
      <w:r w:rsidRPr="004C6E08">
        <w:rPr>
          <w:sz w:val="20"/>
          <w:szCs w:val="20"/>
        </w:rPr>
        <w:t>) under a natural drought environment</w:t>
      </w:r>
      <w:r w:rsidRPr="004C6E08">
        <w:rPr>
          <w:rFonts w:cs="Times New Roman"/>
          <w:sz w:val="20"/>
          <w:szCs w:val="20"/>
        </w:rPr>
        <w:t>; (</w:t>
      </w:r>
      <w:r>
        <w:rPr>
          <w:rFonts w:cs="Times New Roman"/>
          <w:sz w:val="20"/>
          <w:szCs w:val="20"/>
        </w:rPr>
        <w:t>d</w:t>
      </w:r>
      <w:r w:rsidRPr="004C6E08">
        <w:rPr>
          <w:rFonts w:cs="Times New Roman"/>
          <w:sz w:val="20"/>
          <w:szCs w:val="20"/>
        </w:rPr>
        <w:t xml:space="preserve">) 20SPH: </w:t>
      </w:r>
      <w:r w:rsidRPr="004C6E08">
        <w:rPr>
          <w:sz w:val="20"/>
          <w:szCs w:val="20"/>
        </w:rPr>
        <w:t xml:space="preserve">seedling plant height (SPH) was measured in 20FX (2020 </w:t>
      </w:r>
      <w:r w:rsidRPr="004C6E08">
        <w:rPr>
          <w:sz w:val="20"/>
          <w:szCs w:val="20"/>
        </w:rPr>
        <w:lastRenderedPageBreak/>
        <w:t>F</w:t>
      </w:r>
      <w:r w:rsidRPr="004C6E08">
        <w:rPr>
          <w:rFonts w:hint="eastAsia"/>
          <w:sz w:val="20"/>
          <w:szCs w:val="20"/>
        </w:rPr>
        <w:t>uxin</w:t>
      </w:r>
      <w:r w:rsidRPr="004C6E08">
        <w:rPr>
          <w:sz w:val="20"/>
          <w:szCs w:val="20"/>
        </w:rPr>
        <w:t>) under a natural drought environment</w:t>
      </w:r>
      <w:r w:rsidRPr="004C6E08">
        <w:rPr>
          <w:rFonts w:cs="Times New Roman"/>
          <w:sz w:val="20"/>
          <w:szCs w:val="20"/>
        </w:rPr>
        <w:t>; (</w:t>
      </w:r>
      <w:r>
        <w:rPr>
          <w:rFonts w:cs="Times New Roman"/>
          <w:sz w:val="20"/>
          <w:szCs w:val="20"/>
        </w:rPr>
        <w:t>e</w:t>
      </w:r>
      <w:r w:rsidRPr="004C6E08">
        <w:rPr>
          <w:rFonts w:cs="Times New Roman"/>
          <w:sz w:val="20"/>
          <w:szCs w:val="20"/>
        </w:rPr>
        <w:t>) 19GY:</w:t>
      </w:r>
      <w:r w:rsidRPr="004C6E08">
        <w:rPr>
          <w:sz w:val="20"/>
          <w:szCs w:val="20"/>
        </w:rPr>
        <w:t xml:space="preserve"> grain yield (GY) was measured in 19FX (2019 F</w:t>
      </w:r>
      <w:r w:rsidRPr="004C6E08">
        <w:rPr>
          <w:rFonts w:hint="eastAsia"/>
          <w:sz w:val="20"/>
          <w:szCs w:val="20"/>
        </w:rPr>
        <w:t>uxin</w:t>
      </w:r>
      <w:r w:rsidRPr="004C6E08">
        <w:rPr>
          <w:sz w:val="20"/>
          <w:szCs w:val="20"/>
        </w:rPr>
        <w:t>) under a natural drought environment</w:t>
      </w:r>
      <w:r w:rsidRPr="004C6E08">
        <w:rPr>
          <w:rFonts w:cs="Times New Roman"/>
          <w:sz w:val="20"/>
          <w:szCs w:val="20"/>
        </w:rPr>
        <w:t>; (</w:t>
      </w:r>
      <w:r>
        <w:rPr>
          <w:rFonts w:cs="Times New Roman"/>
          <w:sz w:val="20"/>
          <w:szCs w:val="20"/>
        </w:rPr>
        <w:t>f</w:t>
      </w:r>
      <w:r w:rsidRPr="004C6E08">
        <w:rPr>
          <w:rFonts w:cs="Times New Roman"/>
          <w:sz w:val="20"/>
          <w:szCs w:val="20"/>
        </w:rPr>
        <w:t>) 20GY:</w:t>
      </w:r>
      <w:r w:rsidRPr="004C6E08">
        <w:rPr>
          <w:sz w:val="20"/>
          <w:szCs w:val="20"/>
        </w:rPr>
        <w:t xml:space="preserve"> grain yield (GY) was measured in 20FX (2020 F</w:t>
      </w:r>
      <w:r w:rsidRPr="004C6E08">
        <w:rPr>
          <w:rFonts w:hint="eastAsia"/>
          <w:sz w:val="20"/>
          <w:szCs w:val="20"/>
        </w:rPr>
        <w:t>uxin</w:t>
      </w:r>
      <w:r w:rsidRPr="004C6E08">
        <w:rPr>
          <w:sz w:val="20"/>
          <w:szCs w:val="20"/>
        </w:rPr>
        <w:t>) under a natural drought environment</w:t>
      </w:r>
      <w:r>
        <w:rPr>
          <w:sz w:val="20"/>
          <w:szCs w:val="20"/>
        </w:rPr>
        <w:t>.</w:t>
      </w:r>
    </w:p>
    <w:p w14:paraId="174B2722" w14:textId="77777777" w:rsidR="007746DE" w:rsidRDefault="007746D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FFF0B1C" w14:textId="77777777" w:rsidR="007746DE" w:rsidRDefault="007746DE" w:rsidP="007746DE">
      <w:r w:rsidRPr="003B012C">
        <w:rPr>
          <w:noProof/>
          <w:lang w:val="es-MX" w:eastAsia="es-MX"/>
        </w:rPr>
        <w:lastRenderedPageBreak/>
        <w:drawing>
          <wp:inline distT="0" distB="0" distL="0" distR="0" wp14:anchorId="31D17CCB" wp14:editId="4CAD51BC">
            <wp:extent cx="5206993" cy="1747157"/>
            <wp:effectExtent l="0" t="0" r="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408" cy="17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9E2C6" w14:textId="7DCFD896" w:rsidR="007746DE" w:rsidRDefault="007746DE" w:rsidP="007746DE">
      <w:pPr>
        <w:rPr>
          <w:rFonts w:cs="Times New Roman"/>
        </w:rPr>
      </w:pPr>
      <w:r w:rsidRPr="005A6C9C">
        <w:rPr>
          <w:rFonts w:cs="Times New Roman" w:hint="eastAsia"/>
          <w:b/>
          <w:bCs/>
        </w:rPr>
        <w:t>Fig.</w:t>
      </w:r>
      <w:r w:rsidRPr="005A6C9C">
        <w:rPr>
          <w:rFonts w:cs="Times New Roman"/>
          <w:b/>
          <w:bCs/>
        </w:rPr>
        <w:t xml:space="preserve"> </w:t>
      </w:r>
      <w:r w:rsidRPr="005A6C9C">
        <w:rPr>
          <w:rFonts w:cs="Times New Roman" w:hint="eastAsia"/>
          <w:b/>
          <w:bCs/>
        </w:rPr>
        <w:t>S</w:t>
      </w:r>
      <w:r>
        <w:rPr>
          <w:rFonts w:cs="Times New Roman"/>
          <w:b/>
          <w:bCs/>
        </w:rPr>
        <w:t>3</w:t>
      </w:r>
      <w:r>
        <w:rPr>
          <w:rFonts w:cs="Times New Roman"/>
        </w:rPr>
        <w:t xml:space="preserve"> </w:t>
      </w:r>
      <w:r w:rsidRPr="003B012C">
        <w:rPr>
          <w:rFonts w:cs="Times New Roman"/>
        </w:rPr>
        <w:t xml:space="preserve">Genomic prediction accuracies of ER, SPH, and GY in </w:t>
      </w:r>
      <w:r>
        <w:rPr>
          <w:rFonts w:cs="Times New Roman"/>
        </w:rPr>
        <w:t>NCCP</w:t>
      </w:r>
      <w:r w:rsidRPr="003B012C">
        <w:rPr>
          <w:rFonts w:cs="Times New Roman"/>
        </w:rPr>
        <w:t xml:space="preserve"> under natural drought conditions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with</w:t>
      </w:r>
      <w:r>
        <w:rPr>
          <w:rFonts w:cs="Times New Roman"/>
        </w:rPr>
        <w:t xml:space="preserve"> </w:t>
      </w:r>
      <w:r>
        <w:t>SilicoDArT mark dataset</w:t>
      </w:r>
      <w:r w:rsidRPr="003B012C">
        <w:rPr>
          <w:rFonts w:cs="Times New Roman"/>
        </w:rPr>
        <w:t>, when the training population size was set from 10 to 90% of total genotypes, with an interval of 10%. Panel (a) ER; (</w:t>
      </w:r>
      <w:r>
        <w:rPr>
          <w:rFonts w:cs="Times New Roman"/>
        </w:rPr>
        <w:t>b</w:t>
      </w:r>
      <w:r w:rsidRPr="003B012C">
        <w:rPr>
          <w:rFonts w:cs="Times New Roman"/>
        </w:rPr>
        <w:t>) SPH</w:t>
      </w:r>
      <w:r>
        <w:rPr>
          <w:rFonts w:cs="Times New Roman"/>
        </w:rPr>
        <w:t xml:space="preserve">; </w:t>
      </w:r>
      <w:r w:rsidRPr="003B012C">
        <w:rPr>
          <w:rFonts w:cs="Times New Roman"/>
        </w:rPr>
        <w:t>(</w:t>
      </w:r>
      <w:r>
        <w:rPr>
          <w:rFonts w:cs="Times New Roman"/>
        </w:rPr>
        <w:t>c</w:t>
      </w:r>
      <w:r w:rsidRPr="003B012C">
        <w:rPr>
          <w:rFonts w:cs="Times New Roman"/>
        </w:rPr>
        <w:t>) GY</w:t>
      </w:r>
      <w:r>
        <w:rPr>
          <w:rFonts w:cs="Times New Roman"/>
        </w:rPr>
        <w:t>.</w:t>
      </w:r>
    </w:p>
    <w:p w14:paraId="29B4F1F2" w14:textId="77777777" w:rsidR="007746DE" w:rsidRDefault="007746DE">
      <w:pPr>
        <w:spacing w:line="240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0CC1C780" w14:textId="77777777" w:rsidR="007746DE" w:rsidRDefault="007746DE" w:rsidP="007746DE">
      <w:pPr>
        <w:jc w:val="left"/>
        <w:rPr>
          <w:rFonts w:cs="Times New Roman"/>
          <w:sz w:val="20"/>
          <w:szCs w:val="20"/>
        </w:rPr>
      </w:pPr>
      <w:r w:rsidRPr="00C33372">
        <w:rPr>
          <w:noProof/>
          <w:lang w:val="es-MX" w:eastAsia="es-MX"/>
        </w:rPr>
        <w:lastRenderedPageBreak/>
        <w:drawing>
          <wp:inline distT="0" distB="0" distL="0" distR="0" wp14:anchorId="302578E8" wp14:editId="289C2D6E">
            <wp:extent cx="5274310" cy="463296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3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F2736" w14:textId="325250F1" w:rsidR="007746DE" w:rsidRDefault="007746DE" w:rsidP="007746DE">
      <w:pPr>
        <w:jc w:val="left"/>
        <w:rPr>
          <w:rFonts w:cs="Times New Roman"/>
          <w:sz w:val="20"/>
          <w:szCs w:val="20"/>
        </w:rPr>
      </w:pPr>
      <w:r w:rsidRPr="0029530A">
        <w:rPr>
          <w:rFonts w:cs="Times New Roman"/>
          <w:b/>
          <w:bCs/>
          <w:sz w:val="20"/>
          <w:szCs w:val="20"/>
        </w:rPr>
        <w:t>Fig.</w:t>
      </w:r>
      <w:r>
        <w:rPr>
          <w:rFonts w:cs="Times New Roman"/>
          <w:b/>
          <w:bCs/>
          <w:sz w:val="20"/>
          <w:szCs w:val="20"/>
        </w:rPr>
        <w:t xml:space="preserve">S4  </w:t>
      </w:r>
      <w:r w:rsidRPr="00C33372">
        <w:rPr>
          <w:rFonts w:cs="Times New Roman"/>
          <w:sz w:val="20"/>
          <w:szCs w:val="20"/>
        </w:rPr>
        <w:t xml:space="preserve">LD </w:t>
      </w:r>
      <w:r>
        <w:rPr>
          <w:rFonts w:cs="Times New Roman" w:hint="eastAsia"/>
          <w:sz w:val="20"/>
          <w:szCs w:val="20"/>
        </w:rPr>
        <w:t>de</w:t>
      </w:r>
      <w:r>
        <w:rPr>
          <w:rFonts w:cs="Times New Roman"/>
          <w:sz w:val="20"/>
          <w:szCs w:val="20"/>
        </w:rPr>
        <w:t xml:space="preserve">cay plot </w:t>
      </w:r>
      <w:r w:rsidRPr="00C33372">
        <w:rPr>
          <w:rFonts w:cs="Times New Roman"/>
          <w:sz w:val="20"/>
          <w:szCs w:val="20"/>
        </w:rPr>
        <w:t>of different sequencing methods</w:t>
      </w:r>
      <w:r>
        <w:rPr>
          <w:rFonts w:cs="Times New Roman"/>
          <w:sz w:val="20"/>
          <w:szCs w:val="20"/>
        </w:rPr>
        <w:t>. (a)</w:t>
      </w:r>
      <w:r w:rsidRPr="00A17EF4">
        <w:t xml:space="preserve"> </w:t>
      </w:r>
      <w:r w:rsidRPr="00C33372">
        <w:rPr>
          <w:rFonts w:cs="Times New Roman"/>
          <w:sz w:val="20"/>
          <w:szCs w:val="20"/>
        </w:rPr>
        <w:t xml:space="preserve">LD </w:t>
      </w:r>
      <w:r>
        <w:rPr>
          <w:rFonts w:cs="Times New Roman" w:hint="eastAsia"/>
          <w:sz w:val="20"/>
          <w:szCs w:val="20"/>
        </w:rPr>
        <w:t>de</w:t>
      </w:r>
      <w:r>
        <w:rPr>
          <w:rFonts w:cs="Times New Roman"/>
          <w:sz w:val="20"/>
          <w:szCs w:val="20"/>
        </w:rPr>
        <w:t>cay plot</w:t>
      </w:r>
      <w:r w:rsidRPr="00A17EF4">
        <w:rPr>
          <w:rFonts w:cs="Times New Roman"/>
          <w:sz w:val="20"/>
          <w:szCs w:val="20"/>
        </w:rPr>
        <w:t xml:space="preserve"> of 10 chromosomes under DArT sequencing</w:t>
      </w:r>
      <w:r>
        <w:rPr>
          <w:rFonts w:cs="Times New Roman"/>
          <w:sz w:val="20"/>
          <w:szCs w:val="20"/>
        </w:rPr>
        <w:t>; (b)</w:t>
      </w:r>
      <w:r w:rsidRPr="00A17EF4">
        <w:t xml:space="preserve"> </w:t>
      </w:r>
      <w:r w:rsidRPr="00C33372">
        <w:rPr>
          <w:rFonts w:cs="Times New Roman"/>
          <w:sz w:val="20"/>
          <w:szCs w:val="20"/>
        </w:rPr>
        <w:t xml:space="preserve">LD </w:t>
      </w:r>
      <w:r>
        <w:rPr>
          <w:rFonts w:cs="Times New Roman" w:hint="eastAsia"/>
          <w:sz w:val="20"/>
          <w:szCs w:val="20"/>
        </w:rPr>
        <w:t>de</w:t>
      </w:r>
      <w:r>
        <w:rPr>
          <w:rFonts w:cs="Times New Roman"/>
          <w:sz w:val="20"/>
          <w:szCs w:val="20"/>
        </w:rPr>
        <w:t>cay plot</w:t>
      </w:r>
      <w:r w:rsidRPr="00A17EF4">
        <w:rPr>
          <w:rFonts w:cs="Times New Roman"/>
          <w:sz w:val="20"/>
          <w:szCs w:val="20"/>
        </w:rPr>
        <w:t xml:space="preserve"> of 10 chromosomes under </w:t>
      </w:r>
      <w:r>
        <w:rPr>
          <w:rFonts w:cs="Times New Roman"/>
          <w:sz w:val="20"/>
          <w:szCs w:val="20"/>
        </w:rPr>
        <w:t>GBS</w:t>
      </w:r>
      <w:r w:rsidRPr="00A17EF4">
        <w:rPr>
          <w:rFonts w:cs="Times New Roman"/>
          <w:sz w:val="20"/>
          <w:szCs w:val="20"/>
        </w:rPr>
        <w:t xml:space="preserve"> sequencing</w:t>
      </w:r>
      <w:r>
        <w:rPr>
          <w:rFonts w:cs="Times New Roman"/>
          <w:sz w:val="20"/>
          <w:szCs w:val="20"/>
        </w:rPr>
        <w:t xml:space="preserve">; (c) </w:t>
      </w:r>
      <w:r w:rsidRPr="00A17EF4">
        <w:rPr>
          <w:rFonts w:cs="Times New Roman"/>
          <w:sz w:val="20"/>
          <w:szCs w:val="20"/>
        </w:rPr>
        <w:t xml:space="preserve">The average </w:t>
      </w:r>
      <w:r>
        <w:rPr>
          <w:rFonts w:cs="Times New Roman"/>
          <w:sz w:val="20"/>
          <w:szCs w:val="20"/>
        </w:rPr>
        <w:t>decay</w:t>
      </w:r>
      <w:r w:rsidRPr="00A17EF4">
        <w:rPr>
          <w:rFonts w:cs="Times New Roman"/>
          <w:sz w:val="20"/>
          <w:szCs w:val="20"/>
        </w:rPr>
        <w:t xml:space="preserve"> of </w:t>
      </w:r>
      <w:r>
        <w:rPr>
          <w:rFonts w:cs="Times New Roman"/>
          <w:sz w:val="20"/>
          <w:szCs w:val="20"/>
        </w:rPr>
        <w:t>LD</w:t>
      </w:r>
      <w:r w:rsidRPr="00A17EF4">
        <w:rPr>
          <w:rFonts w:cs="Times New Roman"/>
          <w:sz w:val="20"/>
          <w:szCs w:val="20"/>
        </w:rPr>
        <w:t xml:space="preserve"> of 10 chromosomes </w:t>
      </w:r>
      <w:r w:rsidRPr="00F867EE">
        <w:rPr>
          <w:rFonts w:cs="Times New Roman"/>
          <w:sz w:val="20"/>
          <w:szCs w:val="20"/>
        </w:rPr>
        <w:t xml:space="preserve">and the </w:t>
      </w:r>
      <w:r>
        <w:rPr>
          <w:rFonts w:cs="Times New Roman"/>
          <w:sz w:val="20"/>
          <w:szCs w:val="20"/>
        </w:rPr>
        <w:t>decay</w:t>
      </w:r>
      <w:r w:rsidRPr="00F867EE">
        <w:rPr>
          <w:rFonts w:cs="Times New Roman"/>
          <w:sz w:val="20"/>
          <w:szCs w:val="20"/>
        </w:rPr>
        <w:t xml:space="preserve"> distance when </w:t>
      </w:r>
      <w:r>
        <w:rPr>
          <w:rFonts w:cs="Times New Roman"/>
          <w:sz w:val="20"/>
          <w:szCs w:val="20"/>
        </w:rPr>
        <w:t>r</w:t>
      </w:r>
      <w:r w:rsidRPr="00F867EE">
        <w:rPr>
          <w:rFonts w:cs="Times New Roman"/>
          <w:sz w:val="20"/>
          <w:szCs w:val="20"/>
          <w:vertAlign w:val="superscript"/>
        </w:rPr>
        <w:t>2</w:t>
      </w:r>
      <w:r w:rsidRPr="00F867EE">
        <w:rPr>
          <w:rFonts w:cs="Times New Roman"/>
          <w:sz w:val="20"/>
          <w:szCs w:val="20"/>
        </w:rPr>
        <w:t xml:space="preserve"> is equal to 0.2 </w:t>
      </w:r>
      <w:r w:rsidRPr="00A17EF4">
        <w:rPr>
          <w:rFonts w:cs="Times New Roman"/>
          <w:sz w:val="20"/>
          <w:szCs w:val="20"/>
        </w:rPr>
        <w:t>was obtained by DArT sequencing.</w:t>
      </w:r>
      <w:r>
        <w:rPr>
          <w:rFonts w:cs="Times New Roman"/>
          <w:sz w:val="20"/>
          <w:szCs w:val="20"/>
        </w:rPr>
        <w:t xml:space="preserve"> (d) </w:t>
      </w:r>
      <w:r w:rsidRPr="00A17EF4">
        <w:rPr>
          <w:rFonts w:cs="Times New Roman"/>
          <w:sz w:val="20"/>
          <w:szCs w:val="20"/>
        </w:rPr>
        <w:t xml:space="preserve">The average </w:t>
      </w:r>
      <w:r>
        <w:rPr>
          <w:rFonts w:cs="Times New Roman"/>
          <w:sz w:val="20"/>
          <w:szCs w:val="20"/>
        </w:rPr>
        <w:t>decay</w:t>
      </w:r>
      <w:r w:rsidRPr="00A17EF4">
        <w:rPr>
          <w:rFonts w:cs="Times New Roman"/>
          <w:sz w:val="20"/>
          <w:szCs w:val="20"/>
        </w:rPr>
        <w:t xml:space="preserve"> of </w:t>
      </w:r>
      <w:r>
        <w:rPr>
          <w:rFonts w:cs="Times New Roman"/>
          <w:sz w:val="20"/>
          <w:szCs w:val="20"/>
        </w:rPr>
        <w:t>LD</w:t>
      </w:r>
      <w:r w:rsidRPr="00A17EF4">
        <w:rPr>
          <w:rFonts w:cs="Times New Roman"/>
          <w:sz w:val="20"/>
          <w:szCs w:val="20"/>
        </w:rPr>
        <w:t xml:space="preserve"> of 10 chromosomes </w:t>
      </w:r>
      <w:r w:rsidRPr="00F867EE">
        <w:rPr>
          <w:rFonts w:cs="Times New Roman"/>
          <w:sz w:val="20"/>
          <w:szCs w:val="20"/>
        </w:rPr>
        <w:t xml:space="preserve">and the </w:t>
      </w:r>
      <w:r>
        <w:rPr>
          <w:rFonts w:cs="Times New Roman"/>
          <w:sz w:val="20"/>
          <w:szCs w:val="20"/>
        </w:rPr>
        <w:t>decay</w:t>
      </w:r>
      <w:r w:rsidRPr="00F867EE">
        <w:rPr>
          <w:rFonts w:cs="Times New Roman"/>
          <w:sz w:val="20"/>
          <w:szCs w:val="20"/>
        </w:rPr>
        <w:t xml:space="preserve"> distance when </w:t>
      </w:r>
      <w:r>
        <w:rPr>
          <w:rFonts w:cs="Times New Roman"/>
          <w:sz w:val="20"/>
          <w:szCs w:val="20"/>
        </w:rPr>
        <w:t>r</w:t>
      </w:r>
      <w:r w:rsidRPr="00F867EE">
        <w:rPr>
          <w:rFonts w:cs="Times New Roman"/>
          <w:sz w:val="20"/>
          <w:szCs w:val="20"/>
          <w:vertAlign w:val="superscript"/>
        </w:rPr>
        <w:t>2</w:t>
      </w:r>
      <w:r w:rsidRPr="00F867EE">
        <w:rPr>
          <w:rFonts w:cs="Times New Roman"/>
          <w:sz w:val="20"/>
          <w:szCs w:val="20"/>
        </w:rPr>
        <w:t xml:space="preserve"> is equal to 0.2</w:t>
      </w:r>
      <w:r>
        <w:rPr>
          <w:rFonts w:cs="Times New Roman"/>
          <w:sz w:val="20"/>
          <w:szCs w:val="20"/>
        </w:rPr>
        <w:t xml:space="preserve"> </w:t>
      </w:r>
      <w:r w:rsidRPr="00A17EF4">
        <w:rPr>
          <w:rFonts w:cs="Times New Roman"/>
          <w:sz w:val="20"/>
          <w:szCs w:val="20"/>
        </w:rPr>
        <w:t xml:space="preserve">was obtained by </w:t>
      </w:r>
      <w:r>
        <w:rPr>
          <w:rFonts w:cs="Times New Roman"/>
          <w:sz w:val="20"/>
          <w:szCs w:val="20"/>
        </w:rPr>
        <w:t>GBS</w:t>
      </w:r>
      <w:r w:rsidRPr="00A17EF4">
        <w:rPr>
          <w:rFonts w:cs="Times New Roman"/>
          <w:sz w:val="20"/>
          <w:szCs w:val="20"/>
        </w:rPr>
        <w:t xml:space="preserve"> sequencing</w:t>
      </w:r>
      <w:r>
        <w:rPr>
          <w:rFonts w:cs="Times New Roman"/>
          <w:sz w:val="20"/>
          <w:szCs w:val="20"/>
        </w:rPr>
        <w:t>.</w:t>
      </w:r>
    </w:p>
    <w:p w14:paraId="1AF7F689" w14:textId="77777777" w:rsidR="007746DE" w:rsidRDefault="007746DE">
      <w:pPr>
        <w:spacing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14:paraId="2867A19A" w14:textId="77777777" w:rsidR="007746DE" w:rsidRPr="00336FC5" w:rsidRDefault="007746DE" w:rsidP="007746DE">
      <w:pPr>
        <w:pStyle w:val="2"/>
      </w:pPr>
      <w:r w:rsidRPr="00336FC5">
        <w:lastRenderedPageBreak/>
        <w:t xml:space="preserve">Supplementary </w:t>
      </w:r>
      <w:r>
        <w:rPr>
          <w:rFonts w:hint="eastAsia"/>
        </w:rPr>
        <w:t>T</w:t>
      </w:r>
      <w:r>
        <w:t>able</w:t>
      </w:r>
      <w:r w:rsidRPr="00336FC5">
        <w:t>s</w:t>
      </w:r>
    </w:p>
    <w:p w14:paraId="2AAF59EE" w14:textId="77777777" w:rsidR="007746DE" w:rsidRPr="00F65AE5" w:rsidRDefault="007746DE" w:rsidP="007746DE">
      <w:pPr>
        <w:rPr>
          <w:rFonts w:cs="Times New Roman"/>
          <w:sz w:val="20"/>
          <w:szCs w:val="20"/>
        </w:rPr>
      </w:pPr>
      <w:r w:rsidRPr="00F71A60">
        <w:rPr>
          <w:rFonts w:cs="Times New Roman"/>
          <w:b/>
          <w:bCs/>
          <w:sz w:val="20"/>
          <w:szCs w:val="20"/>
        </w:rPr>
        <w:t xml:space="preserve">Table </w:t>
      </w:r>
      <w:r>
        <w:rPr>
          <w:rFonts w:cs="Times New Roman"/>
          <w:b/>
          <w:bCs/>
          <w:sz w:val="20"/>
          <w:szCs w:val="20"/>
        </w:rPr>
        <w:t>S1</w:t>
      </w:r>
      <w:r w:rsidRPr="00F71A60">
        <w:rPr>
          <w:rFonts w:cs="Times New Roman"/>
          <w:sz w:val="20"/>
          <w:szCs w:val="20"/>
        </w:rPr>
        <w:t xml:space="preserve"> The number of materials and sites, proportion heterozygous and MAF</w:t>
      </w:r>
      <w:r>
        <w:rPr>
          <w:rFonts w:cs="Times New Roman"/>
          <w:sz w:val="20"/>
          <w:szCs w:val="20"/>
        </w:rPr>
        <w:t xml:space="preserve"> for markers</w:t>
      </w:r>
      <w:r w:rsidRPr="00F71A60">
        <w:rPr>
          <w:rFonts w:cs="Times New Roman"/>
          <w:sz w:val="20"/>
          <w:szCs w:val="20"/>
        </w:rPr>
        <w:t xml:space="preserve"> of </w:t>
      </w:r>
      <w:r>
        <w:t>SilicoDArT</w:t>
      </w:r>
      <w:r>
        <w:rPr>
          <w:rFonts w:hint="eastAsia"/>
        </w:rPr>
        <w:t>、</w:t>
      </w:r>
      <w:r w:rsidRPr="00F71A60">
        <w:rPr>
          <w:rFonts w:cs="Times New Roman"/>
          <w:sz w:val="20"/>
          <w:szCs w:val="20"/>
        </w:rPr>
        <w:t xml:space="preserve">DArT and GBS datasets </w:t>
      </w:r>
      <w:r>
        <w:rPr>
          <w:rFonts w:cs="Times New Roman" w:hint="eastAsia"/>
          <w:sz w:val="20"/>
          <w:szCs w:val="20"/>
        </w:rPr>
        <w:t>before</w:t>
      </w:r>
      <w:r w:rsidRPr="00F71A60">
        <w:rPr>
          <w:rFonts w:cs="Times New Roman"/>
          <w:sz w:val="20"/>
          <w:szCs w:val="20"/>
        </w:rPr>
        <w:t xml:space="preserve"> filtering</w:t>
      </w:r>
    </w:p>
    <w:tbl>
      <w:tblPr>
        <w:tblW w:w="737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266"/>
        <w:gridCol w:w="1427"/>
        <w:gridCol w:w="1701"/>
      </w:tblGrid>
      <w:tr w:rsidR="007746DE" w:rsidRPr="005B5502" w14:paraId="22CCE57F" w14:textId="77777777" w:rsidTr="00007092">
        <w:trPr>
          <w:trHeight w:val="276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C6CB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3097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SilicoDArT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D855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DArT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4005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GBS</w:t>
            </w:r>
          </w:p>
        </w:tc>
      </w:tr>
      <w:tr w:rsidR="007746DE" w:rsidRPr="005B5502" w14:paraId="4C2620C1" w14:textId="77777777" w:rsidTr="00007092">
        <w:trPr>
          <w:trHeight w:val="276"/>
          <w:jc w:val="center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8CFF45" w14:textId="77777777" w:rsidR="007746DE" w:rsidRPr="005B5502" w:rsidRDefault="007746DE" w:rsidP="00007092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Number of Taxa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129D482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379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CA3BEB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379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8528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378</w:t>
            </w:r>
          </w:p>
        </w:tc>
      </w:tr>
      <w:tr w:rsidR="007746DE" w:rsidRPr="005B5502" w14:paraId="7743AB5D" w14:textId="77777777" w:rsidTr="00007092">
        <w:trPr>
          <w:trHeight w:val="276"/>
          <w:jc w:val="center"/>
        </w:trPr>
        <w:tc>
          <w:tcPr>
            <w:tcW w:w="2977" w:type="dxa"/>
            <w:shd w:val="clear" w:color="auto" w:fill="auto"/>
            <w:vAlign w:val="center"/>
            <w:hideMark/>
          </w:tcPr>
          <w:p w14:paraId="6DC3620E" w14:textId="77777777" w:rsidR="007746DE" w:rsidRPr="005B5502" w:rsidRDefault="007746DE" w:rsidP="00007092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Number of Sites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7B959A09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62794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35433B4A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bookmarkStart w:id="0" w:name="OLE_LINK37"/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39659</w:t>
            </w:r>
            <w:bookmarkEnd w:id="0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464EA3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bookmarkStart w:id="1" w:name="OLE_LINK38"/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768558</w:t>
            </w:r>
            <w:bookmarkEnd w:id="1"/>
          </w:p>
        </w:tc>
      </w:tr>
      <w:tr w:rsidR="007746DE" w:rsidRPr="005B5502" w14:paraId="3EEEF6ED" w14:textId="77777777" w:rsidTr="00007092">
        <w:trPr>
          <w:trHeight w:val="552"/>
          <w:jc w:val="center"/>
        </w:trPr>
        <w:tc>
          <w:tcPr>
            <w:tcW w:w="2977" w:type="dxa"/>
            <w:shd w:val="clear" w:color="auto" w:fill="auto"/>
            <w:vAlign w:val="center"/>
            <w:hideMark/>
          </w:tcPr>
          <w:p w14:paraId="7A11FB34" w14:textId="77777777" w:rsidR="007746DE" w:rsidRPr="005B5502" w:rsidRDefault="007746DE" w:rsidP="00007092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bookmarkStart w:id="2" w:name="_Hlk89181436"/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Proportion Missing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1EDEF3CD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6A3BC754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5AC2C7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0.56</w:t>
            </w:r>
          </w:p>
        </w:tc>
      </w:tr>
      <w:tr w:rsidR="007746DE" w:rsidRPr="005B5502" w14:paraId="107CFD51" w14:textId="77777777" w:rsidTr="00007092">
        <w:trPr>
          <w:trHeight w:val="552"/>
          <w:jc w:val="center"/>
        </w:trPr>
        <w:tc>
          <w:tcPr>
            <w:tcW w:w="2977" w:type="dxa"/>
            <w:shd w:val="clear" w:color="auto" w:fill="auto"/>
            <w:vAlign w:val="center"/>
            <w:hideMark/>
          </w:tcPr>
          <w:p w14:paraId="7083C97F" w14:textId="77777777" w:rsidR="007746DE" w:rsidRPr="005B5502" w:rsidRDefault="007746DE" w:rsidP="00007092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bookmarkStart w:id="3" w:name="_Hlk89178740"/>
            <w:bookmarkEnd w:id="2"/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Proportion Heterozygous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0AD60074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4EDC2A99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5AFBDB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bookmarkEnd w:id="3"/>
      <w:tr w:rsidR="007746DE" w:rsidRPr="005B5502" w14:paraId="796FAF5A" w14:textId="77777777" w:rsidTr="00007092">
        <w:trPr>
          <w:trHeight w:val="552"/>
          <w:jc w:val="center"/>
        </w:trPr>
        <w:tc>
          <w:tcPr>
            <w:tcW w:w="2977" w:type="dxa"/>
            <w:shd w:val="clear" w:color="auto" w:fill="auto"/>
            <w:vAlign w:val="center"/>
            <w:hideMark/>
          </w:tcPr>
          <w:p w14:paraId="260ED08A" w14:textId="77777777" w:rsidR="007746DE" w:rsidRPr="005B5502" w:rsidRDefault="007746DE" w:rsidP="00007092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Average Minor Allele Frequency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2162F5E2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6C7F97F8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F60020" w14:textId="77777777" w:rsidR="007746DE" w:rsidRPr="005B5502" w:rsidRDefault="007746DE" w:rsidP="00007092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B550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</w:tbl>
    <w:p w14:paraId="4CA706E8" w14:textId="042502EF" w:rsidR="007746DE" w:rsidRDefault="007746DE" w:rsidP="007746DE">
      <w:pPr>
        <w:rPr>
          <w:rFonts w:cs="Times New Roman"/>
          <w:b/>
          <w:bCs/>
          <w:sz w:val="20"/>
          <w:szCs w:val="20"/>
        </w:rPr>
      </w:pPr>
    </w:p>
    <w:p w14:paraId="1AEE4951" w14:textId="77777777" w:rsidR="007746DE" w:rsidRDefault="007746DE">
      <w:pPr>
        <w:spacing w:line="240" w:lineRule="auto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br w:type="page"/>
      </w:r>
    </w:p>
    <w:p w14:paraId="1EEF0CA7" w14:textId="77777777" w:rsidR="007746DE" w:rsidRPr="007034E0" w:rsidRDefault="007746DE" w:rsidP="007746DE">
      <w:pPr>
        <w:rPr>
          <w:rFonts w:cs="Times New Roman"/>
          <w:sz w:val="20"/>
          <w:szCs w:val="20"/>
        </w:rPr>
      </w:pPr>
      <w:r w:rsidRPr="00F71A60">
        <w:rPr>
          <w:b/>
          <w:bCs/>
          <w:sz w:val="20"/>
          <w:szCs w:val="20"/>
        </w:rPr>
        <w:lastRenderedPageBreak/>
        <w:t>T</w:t>
      </w:r>
      <w:r w:rsidRPr="00F71A60">
        <w:rPr>
          <w:rFonts w:hint="eastAsia"/>
          <w:b/>
          <w:bCs/>
          <w:sz w:val="20"/>
          <w:szCs w:val="20"/>
        </w:rPr>
        <w:t>able</w:t>
      </w:r>
      <w:r w:rsidRPr="00F71A60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S2</w:t>
      </w:r>
      <w:r w:rsidRPr="00F71A60">
        <w:rPr>
          <w:sz w:val="20"/>
          <w:szCs w:val="20"/>
        </w:rPr>
        <w:t xml:space="preserve"> </w:t>
      </w:r>
      <w:r w:rsidRPr="00F71A60">
        <w:rPr>
          <w:rFonts w:cs="Times New Roman"/>
          <w:sz w:val="20"/>
          <w:szCs w:val="20"/>
        </w:rPr>
        <w:t xml:space="preserve">Genomic prediction accuracies of ER, SPH, and GY in </w:t>
      </w:r>
      <w:r>
        <w:rPr>
          <w:sz w:val="20"/>
          <w:szCs w:val="20"/>
        </w:rPr>
        <w:t>NCCP</w:t>
      </w:r>
      <w:r w:rsidRPr="00F71A60">
        <w:rPr>
          <w:sz w:val="20"/>
          <w:szCs w:val="20"/>
        </w:rPr>
        <w:t xml:space="preserve"> under natural drought conditions</w:t>
      </w:r>
      <w:r w:rsidRPr="00F71A60">
        <w:rPr>
          <w:rFonts w:cs="Times New Roman"/>
          <w:sz w:val="20"/>
          <w:szCs w:val="20"/>
        </w:rPr>
        <w:t>,</w:t>
      </w:r>
      <w:r w:rsidRPr="00F71A60">
        <w:rPr>
          <w:sz w:val="20"/>
          <w:szCs w:val="20"/>
        </w:rPr>
        <w:t xml:space="preserve"> estimated from the </w:t>
      </w:r>
      <w:r>
        <w:rPr>
          <w:sz w:val="20"/>
          <w:szCs w:val="20"/>
        </w:rPr>
        <w:t>DA</w:t>
      </w:r>
      <w:r>
        <w:rPr>
          <w:rFonts w:hint="eastAsia"/>
          <w:sz w:val="20"/>
          <w:szCs w:val="20"/>
        </w:rPr>
        <w:t>rT</w:t>
      </w:r>
      <w:r w:rsidRPr="00F71A60">
        <w:rPr>
          <w:sz w:val="20"/>
          <w:szCs w:val="20"/>
        </w:rPr>
        <w:t xml:space="preserve"> marker</w:t>
      </w:r>
      <w:r w:rsidRPr="00F71A60">
        <w:rPr>
          <w:rFonts w:hint="eastAsia"/>
          <w:sz w:val="20"/>
          <w:szCs w:val="20"/>
        </w:rPr>
        <w:t xml:space="preserve"> </w:t>
      </w:r>
      <w:r w:rsidRPr="00F71A60">
        <w:rPr>
          <w:sz w:val="20"/>
          <w:szCs w:val="20"/>
        </w:rPr>
        <w:t>datasets with different levels of quality filtered with missing rate and MAF</w:t>
      </w:r>
    </w:p>
    <w:tbl>
      <w:tblPr>
        <w:tblW w:w="6880" w:type="dxa"/>
        <w:jc w:val="center"/>
        <w:tblLook w:val="04A0" w:firstRow="1" w:lastRow="0" w:firstColumn="1" w:lastColumn="0" w:noHBand="0" w:noVBand="1"/>
      </w:tblPr>
      <w:tblGrid>
        <w:gridCol w:w="959"/>
        <w:gridCol w:w="175"/>
        <w:gridCol w:w="785"/>
        <w:gridCol w:w="208"/>
        <w:gridCol w:w="1701"/>
        <w:gridCol w:w="918"/>
        <w:gridCol w:w="1067"/>
        <w:gridCol w:w="1067"/>
      </w:tblGrid>
      <w:tr w:rsidR="007746DE" w:rsidRPr="00F71A60" w14:paraId="58FFC941" w14:textId="77777777" w:rsidTr="00007092">
        <w:trPr>
          <w:trHeight w:val="732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C52F65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Missing rate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B80F88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MAF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38A615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Number of markers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826A8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Prediction accuracy</w:t>
            </w:r>
          </w:p>
        </w:tc>
      </w:tr>
      <w:tr w:rsidR="007746DE" w:rsidRPr="00F71A60" w14:paraId="50EC11D2" w14:textId="77777777" w:rsidTr="00007092">
        <w:trPr>
          <w:trHeight w:val="288"/>
          <w:jc w:val="center"/>
        </w:trPr>
        <w:tc>
          <w:tcPr>
            <w:tcW w:w="9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8B4BA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A35E8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30C87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46BA4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ER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228D4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SPH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513F8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GY</w:t>
            </w:r>
          </w:p>
        </w:tc>
      </w:tr>
      <w:tr w:rsidR="007746DE" w:rsidRPr="00F71A60" w14:paraId="2C3B476A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8188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0%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E286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F74A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285BC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.22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A514B73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0.22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BC83F8F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0.32</w:t>
            </w:r>
          </w:p>
        </w:tc>
      </w:tr>
      <w:tr w:rsidR="007746DE" w:rsidRPr="00F71A60" w14:paraId="0403E5F9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67A6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49B6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8F15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DC271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.20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B92A2B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93612D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0.32</w:t>
            </w:r>
          </w:p>
        </w:tc>
      </w:tr>
      <w:tr w:rsidR="007746DE" w:rsidRPr="00F71A60" w14:paraId="4DD697A9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4738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E6F1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7CD9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46DBF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.17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32F4DA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E83F71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0.29</w:t>
            </w:r>
          </w:p>
        </w:tc>
      </w:tr>
      <w:tr w:rsidR="007746DE" w:rsidRPr="00F71A60" w14:paraId="3555ABC3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FE6B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2869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204E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C3A35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.19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71F66B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0.18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0747AD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0.29</w:t>
            </w:r>
          </w:p>
        </w:tc>
      </w:tr>
      <w:tr w:rsidR="007746DE" w:rsidRPr="00F71A60" w14:paraId="33398216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319B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20%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D202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9A9B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311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2D3CC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.28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340862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327830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0.32</w:t>
            </w:r>
          </w:p>
        </w:tc>
      </w:tr>
      <w:tr w:rsidR="007746DE" w:rsidRPr="00F71A60" w14:paraId="78B98E7F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45C2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ED0E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1A2A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279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F7C45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.26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EF5A0D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5E8FA5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0.34</w:t>
            </w:r>
          </w:p>
        </w:tc>
      </w:tr>
      <w:tr w:rsidR="007746DE" w:rsidRPr="00F71A60" w14:paraId="53A652C9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8B03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A2B7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4243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627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2EC6A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.27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3483E2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B46C29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0.31</w:t>
            </w:r>
          </w:p>
        </w:tc>
      </w:tr>
      <w:tr w:rsidR="007746DE" w:rsidRPr="00F71A60" w14:paraId="3A97A52B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C675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3D64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D25C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9F3A1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.26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645585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0.19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31B273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0.33</w:t>
            </w:r>
          </w:p>
        </w:tc>
      </w:tr>
      <w:tr w:rsidR="007746DE" w:rsidRPr="00F71A60" w14:paraId="18EA1562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2FB8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33</w:t>
            </w: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A286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D21C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803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7576F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.26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F2204F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CE2839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0.35</w:t>
            </w:r>
          </w:p>
        </w:tc>
      </w:tr>
      <w:tr w:rsidR="007746DE" w:rsidRPr="00F71A60" w14:paraId="137EEBFC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220C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1136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F8D8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361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54119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.27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7F32A0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C5F619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0.33</w:t>
            </w:r>
          </w:p>
        </w:tc>
      </w:tr>
      <w:tr w:rsidR="007746DE" w:rsidRPr="00F71A60" w14:paraId="149CA3FF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E04B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4422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B09C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650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A057F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.27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51B527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9F4EBD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0.32</w:t>
            </w:r>
          </w:p>
        </w:tc>
      </w:tr>
      <w:tr w:rsidR="007746DE" w:rsidRPr="00F71A60" w14:paraId="2AB7A2D0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205D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687F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D2BC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456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46738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.27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A8788D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25B5AD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0.34</w:t>
            </w:r>
          </w:p>
        </w:tc>
      </w:tr>
      <w:tr w:rsidR="007746DE" w:rsidRPr="00F71A60" w14:paraId="2869355E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CDDE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50</w:t>
            </w: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A259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3555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1538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EC13E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.27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82651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72AD24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0.33</w:t>
            </w:r>
          </w:p>
        </w:tc>
      </w:tr>
      <w:tr w:rsidR="007746DE" w:rsidRPr="00F71A60" w14:paraId="01784F31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284B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BA95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D134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B8106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.27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718171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7FCA15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0.33</w:t>
            </w:r>
          </w:p>
        </w:tc>
      </w:tr>
      <w:tr w:rsidR="007746DE" w:rsidRPr="00F71A60" w14:paraId="0B55C936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A9D1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BEC5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7D15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879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436F97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.26</w:t>
            </w:r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C1CA8FB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0.22</w:t>
            </w:r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28B76B5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0.33</w:t>
            </w:r>
          </w:p>
        </w:tc>
      </w:tr>
      <w:tr w:rsidR="007746DE" w:rsidRPr="00F71A60" w14:paraId="2464CAE1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4CCB8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EA036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50AB6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479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88D2D0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.27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0C6894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14C8B6" w14:textId="77777777" w:rsidR="007746DE" w:rsidRPr="00CB2BDB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B2BDB">
              <w:rPr>
                <w:sz w:val="20"/>
                <w:szCs w:val="20"/>
              </w:rPr>
              <w:t>0.34</w:t>
            </w:r>
          </w:p>
        </w:tc>
      </w:tr>
    </w:tbl>
    <w:p w14:paraId="49C7EEA2" w14:textId="57C9A8E9" w:rsidR="007746DE" w:rsidRDefault="007746DE" w:rsidP="007746DE">
      <w:pPr>
        <w:widowControl/>
        <w:spacing w:line="240" w:lineRule="auto"/>
        <w:jc w:val="left"/>
        <w:rPr>
          <w:rFonts w:cs="Times New Roman"/>
          <w:sz w:val="20"/>
          <w:szCs w:val="20"/>
        </w:rPr>
      </w:pPr>
    </w:p>
    <w:p w14:paraId="6E61D1CD" w14:textId="77777777" w:rsidR="007746DE" w:rsidRDefault="007746DE">
      <w:pPr>
        <w:spacing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14:paraId="56AFF01B" w14:textId="77777777" w:rsidR="007746DE" w:rsidRPr="00F71A60" w:rsidRDefault="007746DE" w:rsidP="007746DE">
      <w:pPr>
        <w:rPr>
          <w:rFonts w:cs="Times New Roman"/>
          <w:sz w:val="20"/>
          <w:szCs w:val="20"/>
        </w:rPr>
      </w:pPr>
      <w:r w:rsidRPr="00F71A60">
        <w:rPr>
          <w:b/>
          <w:bCs/>
          <w:sz w:val="20"/>
          <w:szCs w:val="20"/>
        </w:rPr>
        <w:lastRenderedPageBreak/>
        <w:t>T</w:t>
      </w:r>
      <w:r w:rsidRPr="00F71A60">
        <w:rPr>
          <w:rFonts w:hint="eastAsia"/>
          <w:b/>
          <w:bCs/>
          <w:sz w:val="20"/>
          <w:szCs w:val="20"/>
        </w:rPr>
        <w:t>able</w:t>
      </w:r>
      <w:r w:rsidRPr="00F71A60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S3</w:t>
      </w:r>
      <w:r w:rsidRPr="00F71A60">
        <w:rPr>
          <w:sz w:val="20"/>
          <w:szCs w:val="20"/>
        </w:rPr>
        <w:t xml:space="preserve"> </w:t>
      </w:r>
      <w:r w:rsidRPr="00F71A60">
        <w:rPr>
          <w:rFonts w:cs="Times New Roman"/>
          <w:sz w:val="20"/>
          <w:szCs w:val="20"/>
        </w:rPr>
        <w:t xml:space="preserve">Genomic prediction accuracies of ER, SPH, and GY in </w:t>
      </w:r>
      <w:r>
        <w:rPr>
          <w:sz w:val="20"/>
          <w:szCs w:val="20"/>
        </w:rPr>
        <w:t>NCCP</w:t>
      </w:r>
      <w:r w:rsidRPr="00F71A60">
        <w:rPr>
          <w:sz w:val="20"/>
          <w:szCs w:val="20"/>
        </w:rPr>
        <w:t xml:space="preserve"> under natural drought conditions</w:t>
      </w:r>
      <w:r w:rsidRPr="00F71A60">
        <w:rPr>
          <w:rFonts w:cs="Times New Roman"/>
          <w:sz w:val="20"/>
          <w:szCs w:val="20"/>
        </w:rPr>
        <w:t>,</w:t>
      </w:r>
      <w:r w:rsidRPr="00F71A60">
        <w:rPr>
          <w:sz w:val="20"/>
          <w:szCs w:val="20"/>
        </w:rPr>
        <w:t xml:space="preserve"> estimated from the GBS marker</w:t>
      </w:r>
      <w:r w:rsidRPr="00F71A60">
        <w:rPr>
          <w:rFonts w:hint="eastAsia"/>
          <w:sz w:val="20"/>
          <w:szCs w:val="20"/>
        </w:rPr>
        <w:t xml:space="preserve"> </w:t>
      </w:r>
      <w:r w:rsidRPr="00F71A60">
        <w:rPr>
          <w:sz w:val="20"/>
          <w:szCs w:val="20"/>
        </w:rPr>
        <w:t>datasets with different levels of quality filtered with missing rate and MAF</w:t>
      </w:r>
    </w:p>
    <w:tbl>
      <w:tblPr>
        <w:tblW w:w="6880" w:type="dxa"/>
        <w:jc w:val="center"/>
        <w:tblLook w:val="04A0" w:firstRow="1" w:lastRow="0" w:firstColumn="1" w:lastColumn="0" w:noHBand="0" w:noVBand="1"/>
      </w:tblPr>
      <w:tblGrid>
        <w:gridCol w:w="959"/>
        <w:gridCol w:w="175"/>
        <w:gridCol w:w="785"/>
        <w:gridCol w:w="208"/>
        <w:gridCol w:w="1701"/>
        <w:gridCol w:w="918"/>
        <w:gridCol w:w="1067"/>
        <w:gridCol w:w="1067"/>
      </w:tblGrid>
      <w:tr w:rsidR="007746DE" w:rsidRPr="00F71A60" w14:paraId="5CD375B7" w14:textId="77777777" w:rsidTr="00007092">
        <w:trPr>
          <w:trHeight w:val="732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9B302C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Missing rate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93E531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MAF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CC8782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Number of markers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73FB2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Prediction accuracy</w:t>
            </w:r>
          </w:p>
        </w:tc>
      </w:tr>
      <w:tr w:rsidR="007746DE" w:rsidRPr="00F71A60" w14:paraId="45DE923C" w14:textId="77777777" w:rsidTr="00007092">
        <w:trPr>
          <w:trHeight w:val="288"/>
          <w:jc w:val="center"/>
        </w:trPr>
        <w:tc>
          <w:tcPr>
            <w:tcW w:w="9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7D675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B0C56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5242B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97929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ER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9F755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SPH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23EC2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GY</w:t>
            </w:r>
          </w:p>
        </w:tc>
      </w:tr>
      <w:tr w:rsidR="007746DE" w:rsidRPr="00F71A60" w14:paraId="1BADE23B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E815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0%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30C4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9F73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ED39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73A8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0.09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C69A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.19</w:t>
            </w:r>
          </w:p>
        </w:tc>
      </w:tr>
      <w:tr w:rsidR="007746DE" w:rsidRPr="00F71A60" w14:paraId="196B2AA7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B491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1549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8009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193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D667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EDEE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AC5C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.20</w:t>
            </w:r>
          </w:p>
        </w:tc>
      </w:tr>
      <w:tr w:rsidR="007746DE" w:rsidRPr="00F71A60" w14:paraId="6C2E1736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0B5B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6EDB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CEBA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A97C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D3CF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0.11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9D44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.19</w:t>
            </w:r>
          </w:p>
        </w:tc>
      </w:tr>
      <w:tr w:rsidR="007746DE" w:rsidRPr="00F71A60" w14:paraId="20A608F3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66D5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C8BB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6F1F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D326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3F4E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0.10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7FC2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.19</w:t>
            </w:r>
          </w:p>
        </w:tc>
      </w:tr>
      <w:tr w:rsidR="007746DE" w:rsidRPr="00F71A60" w14:paraId="7EE153DC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1318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20%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37C3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2EF3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2959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E48A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47D0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F3EB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.21</w:t>
            </w:r>
          </w:p>
        </w:tc>
      </w:tr>
      <w:tr w:rsidR="007746DE" w:rsidRPr="00F71A60" w14:paraId="0C17E64D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28CB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AF9D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F8E5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4370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4163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1E6D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FC90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.20</w:t>
            </w:r>
          </w:p>
        </w:tc>
      </w:tr>
      <w:tr w:rsidR="007746DE" w:rsidRPr="00F71A60" w14:paraId="5D5FBAFB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BE1D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2378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90A0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3219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48C1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ECE8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3D1F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.21</w:t>
            </w:r>
          </w:p>
        </w:tc>
      </w:tr>
      <w:tr w:rsidR="007746DE" w:rsidRPr="00F71A60" w14:paraId="1D2BF651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1E9A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D79B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3118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6119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531D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60DE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FC9E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.21</w:t>
            </w:r>
          </w:p>
        </w:tc>
      </w:tr>
      <w:tr w:rsidR="007746DE" w:rsidRPr="00F71A60" w14:paraId="7AFC61E9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4EC1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33</w:t>
            </w: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127A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91B6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165750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C039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FAAA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08D4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.22</w:t>
            </w:r>
          </w:p>
        </w:tc>
      </w:tr>
      <w:tr w:rsidR="007746DE" w:rsidRPr="00F71A60" w14:paraId="19FB1231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30FD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31CD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61CA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107158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2D78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1915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EEDA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.20</w:t>
            </w:r>
          </w:p>
        </w:tc>
      </w:tr>
      <w:tr w:rsidR="007746DE" w:rsidRPr="00F71A60" w14:paraId="7E6A4561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91FB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1C28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F96E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65623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D512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BA6E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CBDA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.21</w:t>
            </w:r>
          </w:p>
        </w:tc>
      </w:tr>
      <w:tr w:rsidR="007746DE" w:rsidRPr="00F71A60" w14:paraId="4040B1C3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9C9D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0EF9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3B6E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31772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9DAF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41A8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7FE9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.20</w:t>
            </w:r>
          </w:p>
        </w:tc>
      </w:tr>
      <w:tr w:rsidR="007746DE" w:rsidRPr="00F71A60" w14:paraId="091D2CA9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4E73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5</w:t>
            </w: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45A0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FFA4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214733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FB6F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CEC2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9EA6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.21</w:t>
            </w:r>
          </w:p>
        </w:tc>
      </w:tr>
      <w:tr w:rsidR="007746DE" w:rsidRPr="00F71A60" w14:paraId="06950235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07AB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EE69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E9F8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137963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8EEF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3760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3278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.19</w:t>
            </w:r>
          </w:p>
        </w:tc>
      </w:tr>
      <w:tr w:rsidR="007746DE" w:rsidRPr="00F71A60" w14:paraId="36C3408A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7237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5BFB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8846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84193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A1F8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0.04</w:t>
            </w:r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9E4F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0.08</w:t>
            </w:r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EFE0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.21</w:t>
            </w:r>
          </w:p>
        </w:tc>
      </w:tr>
      <w:tr w:rsidR="007746DE" w:rsidRPr="00F71A60" w14:paraId="198D3189" w14:textId="77777777" w:rsidTr="00007092">
        <w:trPr>
          <w:trHeight w:val="288"/>
          <w:jc w:val="center"/>
        </w:trPr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FB1A4" w14:textId="77777777" w:rsidR="007746DE" w:rsidRPr="00F71A60" w:rsidRDefault="007746DE" w:rsidP="00007092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ED3AB" w14:textId="77777777" w:rsidR="007746DE" w:rsidRPr="00F71A60" w:rsidRDefault="007746DE" w:rsidP="00007092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B20F6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 w:rsidRPr="00F71A60">
              <w:rPr>
                <w:rFonts w:cs="Times New Roman"/>
                <w:color w:val="000000"/>
                <w:kern w:val="0"/>
                <w:sz w:val="20"/>
                <w:szCs w:val="20"/>
              </w:rPr>
              <w:t>40661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C4F0A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10C05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-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0.08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71068" w14:textId="77777777" w:rsidR="007746DE" w:rsidRPr="00F71A60" w:rsidRDefault="007746DE" w:rsidP="00007092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F71A60"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 w:rsidRPr="00F71A60">
              <w:rPr>
                <w:rFonts w:eastAsiaTheme="minorEastAsia" w:cs="Times New Roman"/>
                <w:kern w:val="0"/>
                <w:sz w:val="20"/>
                <w:szCs w:val="20"/>
              </w:rPr>
              <w:t>.21</w:t>
            </w:r>
          </w:p>
        </w:tc>
      </w:tr>
    </w:tbl>
    <w:p w14:paraId="203AFBD9" w14:textId="77777777" w:rsidR="00DC2D4C" w:rsidRDefault="00DC2D4C"/>
    <w:sectPr w:rsidR="00DC2D4C" w:rsidSect="00803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AC6A5" w14:textId="77777777" w:rsidR="00011F52" w:rsidRDefault="00011F52" w:rsidP="007746DE">
      <w:pPr>
        <w:spacing w:line="240" w:lineRule="auto"/>
      </w:pPr>
      <w:r>
        <w:separator/>
      </w:r>
    </w:p>
  </w:endnote>
  <w:endnote w:type="continuationSeparator" w:id="0">
    <w:p w14:paraId="2C2AAF74" w14:textId="77777777" w:rsidR="00011F52" w:rsidRDefault="00011F52" w:rsidP="007746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F7019" w14:textId="77777777" w:rsidR="00011F52" w:rsidRDefault="00011F52" w:rsidP="007746DE">
      <w:pPr>
        <w:spacing w:line="240" w:lineRule="auto"/>
      </w:pPr>
      <w:r>
        <w:separator/>
      </w:r>
    </w:p>
  </w:footnote>
  <w:footnote w:type="continuationSeparator" w:id="0">
    <w:p w14:paraId="12E899CB" w14:textId="77777777" w:rsidR="00011F52" w:rsidRDefault="00011F52" w:rsidP="007746D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wsDA3MDcxsTQ1NTNT0lEKTi0uzszPAykwrAUAXoc7PCwAAAA="/>
  </w:docVars>
  <w:rsids>
    <w:rsidRoot w:val="00DC4F0E"/>
    <w:rsid w:val="00011F52"/>
    <w:rsid w:val="00670355"/>
    <w:rsid w:val="007746DE"/>
    <w:rsid w:val="0080338C"/>
    <w:rsid w:val="009B04DC"/>
    <w:rsid w:val="00C63E3C"/>
    <w:rsid w:val="00DC2D4C"/>
    <w:rsid w:val="00DC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7CF79C"/>
  <w15:chartTrackingRefBased/>
  <w15:docId w15:val="{7759A6C3-19B3-42B4-ACA5-764F9114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6DE"/>
    <w:pPr>
      <w:spacing w:line="360" w:lineRule="auto"/>
    </w:pPr>
    <w:rPr>
      <w:rFonts w:ascii="Times New Roman" w:eastAsia="宋体" w:hAnsi="Times New Roman"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746DE"/>
    <w:pPr>
      <w:keepNext/>
      <w:keepLines/>
      <w:spacing w:before="260" w:after="260" w:line="416" w:lineRule="auto"/>
      <w:outlineLvl w:val="1"/>
    </w:pPr>
    <w:rPr>
      <w:rFonts w:eastAsiaTheme="majorEastAsia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6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46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46D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46DE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7746DE"/>
    <w:rPr>
      <w:rFonts w:ascii="Times New Roman" w:eastAsiaTheme="majorEastAsia" w:hAnsi="Times New Roman" w:cstheme="majorBidi"/>
      <w:b/>
      <w:bC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Ao</dc:creator>
  <cp:keywords/>
  <dc:description/>
  <cp:lastModifiedBy>Zhang Ao</cp:lastModifiedBy>
  <cp:revision>2</cp:revision>
  <dcterms:created xsi:type="dcterms:W3CDTF">2021-12-15T02:25:00Z</dcterms:created>
  <dcterms:modified xsi:type="dcterms:W3CDTF">2021-12-15T02:26:00Z</dcterms:modified>
</cp:coreProperties>
</file>