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722E95" w14:textId="3E783F0D" w:rsidR="00321EC9" w:rsidRDefault="00321EC9" w:rsidP="00321EC9">
      <w:pPr>
        <w:jc w:val="center"/>
        <w:rPr>
          <w:b/>
        </w:rPr>
      </w:pPr>
      <w:r>
        <w:rPr>
          <w:b/>
        </w:rPr>
        <w:t>Supplement</w:t>
      </w:r>
    </w:p>
    <w:p w14:paraId="2617A73F" w14:textId="77777777" w:rsidR="00321EC9" w:rsidRDefault="00321EC9" w:rsidP="00321EC9">
      <w:pPr>
        <w:jc w:val="center"/>
        <w:rPr>
          <w:b/>
        </w:rPr>
      </w:pPr>
    </w:p>
    <w:p w14:paraId="1CBE158C" w14:textId="1594E718" w:rsidR="00321EC9" w:rsidRPr="00384A8D" w:rsidRDefault="00321EC9" w:rsidP="00321EC9">
      <w:pPr>
        <w:jc w:val="center"/>
        <w:rPr>
          <w:b/>
        </w:rPr>
      </w:pPr>
      <w:r>
        <w:rPr>
          <w:b/>
        </w:rPr>
        <w:t>E</w:t>
      </w:r>
      <w:r w:rsidRPr="00384A8D">
        <w:rPr>
          <w:b/>
        </w:rPr>
        <w:t xml:space="preserve">nsemble </w:t>
      </w:r>
      <w:r>
        <w:rPr>
          <w:b/>
        </w:rPr>
        <w:t xml:space="preserve">bootstrap </w:t>
      </w:r>
      <w:r w:rsidRPr="00384A8D">
        <w:rPr>
          <w:b/>
        </w:rPr>
        <w:t xml:space="preserve">methodology </w:t>
      </w:r>
      <w:r>
        <w:rPr>
          <w:b/>
        </w:rPr>
        <w:t>for forecasting dynamic growth processes using differential equations: Application to epidemic outbreaks</w:t>
      </w:r>
    </w:p>
    <w:p w14:paraId="434D53E8" w14:textId="77777777" w:rsidR="00321EC9" w:rsidRPr="00384A8D" w:rsidRDefault="00321EC9" w:rsidP="00321EC9">
      <w:pPr>
        <w:spacing w:line="360" w:lineRule="auto"/>
        <w:rPr>
          <w:b/>
        </w:rPr>
      </w:pPr>
    </w:p>
    <w:p w14:paraId="0898C007" w14:textId="77777777" w:rsidR="00321EC9" w:rsidRPr="00384A8D" w:rsidRDefault="00321EC9" w:rsidP="00321EC9">
      <w:pPr>
        <w:pStyle w:val="MediumShading1-Accent21"/>
        <w:spacing w:line="360" w:lineRule="auto"/>
        <w:rPr>
          <w:rFonts w:ascii="Times New Roman" w:hAnsi="Times New Roman"/>
        </w:rPr>
      </w:pPr>
      <w:r w:rsidRPr="00384A8D">
        <w:rPr>
          <w:rFonts w:ascii="Times New Roman" w:hAnsi="Times New Roman"/>
        </w:rPr>
        <w:t>G</w:t>
      </w:r>
      <w:r>
        <w:rPr>
          <w:rFonts w:ascii="Times New Roman" w:hAnsi="Times New Roman"/>
        </w:rPr>
        <w:t xml:space="preserve">erardo </w:t>
      </w:r>
      <w:r w:rsidRPr="00384A8D">
        <w:rPr>
          <w:rFonts w:ascii="Times New Roman" w:hAnsi="Times New Roman"/>
        </w:rPr>
        <w:t>Chowell</w:t>
      </w:r>
      <w:r w:rsidRPr="00384A8D">
        <w:rPr>
          <w:rFonts w:ascii="Times New Roman" w:hAnsi="Times New Roman"/>
          <w:vertAlign w:val="superscript"/>
        </w:rPr>
        <w:t>1,</w:t>
      </w:r>
      <w:proofErr w:type="gramStart"/>
      <w:r w:rsidRPr="00384A8D">
        <w:rPr>
          <w:rFonts w:ascii="Times New Roman" w:hAnsi="Times New Roman"/>
          <w:vertAlign w:val="superscript"/>
        </w:rPr>
        <w:t>2,*</w:t>
      </w:r>
      <w:proofErr w:type="gramEnd"/>
      <w:r>
        <w:rPr>
          <w:rFonts w:ascii="Times New Roman" w:hAnsi="Times New Roman"/>
        </w:rPr>
        <w:t xml:space="preserve"> &amp; </w:t>
      </w:r>
      <w:proofErr w:type="spellStart"/>
      <w:r w:rsidRPr="00384A8D">
        <w:rPr>
          <w:rFonts w:ascii="Times New Roman" w:hAnsi="Times New Roman"/>
        </w:rPr>
        <w:t>R</w:t>
      </w:r>
      <w:r>
        <w:rPr>
          <w:rFonts w:ascii="Times New Roman" w:hAnsi="Times New Roman"/>
        </w:rPr>
        <w:t>uiyan</w:t>
      </w:r>
      <w:proofErr w:type="spellEnd"/>
      <w:r w:rsidRPr="00384A8D">
        <w:rPr>
          <w:rFonts w:ascii="Times New Roman" w:hAnsi="Times New Roman"/>
        </w:rPr>
        <w:t xml:space="preserve"> Luo</w:t>
      </w:r>
      <w:r w:rsidRPr="00384A8D">
        <w:rPr>
          <w:rFonts w:ascii="Times New Roman" w:hAnsi="Times New Roman"/>
          <w:vertAlign w:val="superscript"/>
        </w:rPr>
        <w:t>1</w:t>
      </w:r>
    </w:p>
    <w:p w14:paraId="670B90BA" w14:textId="77777777" w:rsidR="00321EC9" w:rsidRPr="00384A8D" w:rsidRDefault="00321EC9" w:rsidP="00321EC9">
      <w:pPr>
        <w:pStyle w:val="MediumShading1-Accent21"/>
        <w:spacing w:line="360" w:lineRule="auto"/>
        <w:rPr>
          <w:rFonts w:ascii="Times New Roman" w:hAnsi="Times New Roman"/>
        </w:rPr>
      </w:pPr>
    </w:p>
    <w:p w14:paraId="41BC14A6" w14:textId="77777777" w:rsidR="00321EC9" w:rsidRPr="00384A8D" w:rsidRDefault="00321EC9" w:rsidP="00321EC9">
      <w:pPr>
        <w:pStyle w:val="MediumShading1-Accent21"/>
        <w:spacing w:line="360" w:lineRule="auto"/>
        <w:rPr>
          <w:rFonts w:ascii="Times New Roman" w:hAnsi="Times New Roman"/>
        </w:rPr>
      </w:pPr>
      <w:r w:rsidRPr="00384A8D">
        <w:rPr>
          <w:rFonts w:ascii="Times New Roman" w:hAnsi="Times New Roman"/>
          <w:vertAlign w:val="superscript"/>
        </w:rPr>
        <w:t xml:space="preserve">1 </w:t>
      </w:r>
      <w:r w:rsidRPr="00384A8D">
        <w:rPr>
          <w:rFonts w:ascii="Times New Roman" w:hAnsi="Times New Roman"/>
        </w:rPr>
        <w:t>Department of Population Heath Sciences, School of Public Health, Georgia State University, Atlanta, GA, USA</w:t>
      </w:r>
    </w:p>
    <w:p w14:paraId="6770FF6A" w14:textId="77777777" w:rsidR="00321EC9" w:rsidRPr="00384A8D" w:rsidRDefault="00321EC9" w:rsidP="00321EC9">
      <w:pPr>
        <w:pStyle w:val="MediumShading1-Accent21"/>
        <w:spacing w:line="360" w:lineRule="auto"/>
        <w:rPr>
          <w:rFonts w:ascii="Times New Roman" w:hAnsi="Times New Roman"/>
        </w:rPr>
      </w:pPr>
      <w:r w:rsidRPr="00384A8D">
        <w:rPr>
          <w:rFonts w:ascii="Times New Roman" w:hAnsi="Times New Roman"/>
          <w:vertAlign w:val="superscript"/>
        </w:rPr>
        <w:t xml:space="preserve">2 </w:t>
      </w:r>
      <w:r w:rsidRPr="00384A8D">
        <w:rPr>
          <w:rFonts w:ascii="Times New Roman" w:hAnsi="Times New Roman"/>
        </w:rPr>
        <w:t>Division of International Epidemiology and Population Studies, Fogarty International Center, National Institutes of Health, Bethesda, MD, USA</w:t>
      </w:r>
      <w:r>
        <w:rPr>
          <w:rFonts w:ascii="Times New Roman" w:hAnsi="Times New Roman"/>
        </w:rPr>
        <w:br/>
      </w:r>
    </w:p>
    <w:p w14:paraId="750380E9" w14:textId="77777777" w:rsidR="00321EC9" w:rsidRPr="00384A8D" w:rsidRDefault="00321EC9" w:rsidP="00321EC9">
      <w:pPr>
        <w:pStyle w:val="MediumShading1-Accent21"/>
        <w:spacing w:line="360" w:lineRule="auto"/>
        <w:rPr>
          <w:rFonts w:ascii="Times New Roman" w:hAnsi="Times New Roman"/>
        </w:rPr>
      </w:pPr>
      <w:r w:rsidRPr="00384A8D">
        <w:rPr>
          <w:rFonts w:ascii="Times New Roman" w:hAnsi="Times New Roman"/>
          <w:vertAlign w:val="superscript"/>
        </w:rPr>
        <w:t xml:space="preserve">* </w:t>
      </w:r>
      <w:r w:rsidRPr="00384A8D">
        <w:rPr>
          <w:rFonts w:ascii="Times New Roman" w:hAnsi="Times New Roman"/>
        </w:rPr>
        <w:t>Corresponding author (</w:t>
      </w:r>
      <w:hyperlink r:id="rId4" w:history="1">
        <w:r w:rsidRPr="00384A8D">
          <w:rPr>
            <w:rStyle w:val="Hyperlink"/>
            <w:rFonts w:ascii="Times New Roman" w:hAnsi="Times New Roman"/>
          </w:rPr>
          <w:t>gchowell@gsu.edu</w:t>
        </w:r>
      </w:hyperlink>
      <w:r w:rsidRPr="00384A8D">
        <w:rPr>
          <w:rFonts w:ascii="Times New Roman" w:hAnsi="Times New Roman"/>
        </w:rPr>
        <w:t>)</w:t>
      </w:r>
    </w:p>
    <w:p w14:paraId="4E3685F6" w14:textId="14F46FB1" w:rsidR="00321EC9" w:rsidRDefault="00321EC9" w:rsidP="00D42D6E">
      <w:pPr>
        <w:spacing w:line="360" w:lineRule="auto"/>
        <w:rPr>
          <w:b/>
        </w:rPr>
      </w:pPr>
    </w:p>
    <w:p w14:paraId="006D8D4E" w14:textId="77777777" w:rsidR="00321EC9" w:rsidRDefault="00321EC9" w:rsidP="00D42D6E">
      <w:pPr>
        <w:spacing w:line="360" w:lineRule="auto"/>
        <w:rPr>
          <w:b/>
        </w:rPr>
      </w:pPr>
    </w:p>
    <w:p w14:paraId="36F2CB13" w14:textId="77777777" w:rsidR="00321EC9" w:rsidRDefault="00321EC9">
      <w:pPr>
        <w:rPr>
          <w:b/>
        </w:rPr>
      </w:pPr>
      <w:r>
        <w:rPr>
          <w:b/>
        </w:rPr>
        <w:br w:type="page"/>
      </w:r>
    </w:p>
    <w:p w14:paraId="07D768FD" w14:textId="7477E756" w:rsidR="00D42D6E" w:rsidRPr="0034238C" w:rsidRDefault="00D42D6E" w:rsidP="00D42D6E">
      <w:pPr>
        <w:spacing w:line="360" w:lineRule="auto"/>
        <w:rPr>
          <w:b/>
        </w:rPr>
      </w:pPr>
      <w:r w:rsidRPr="00465EF4">
        <w:rPr>
          <w:b/>
        </w:rPr>
        <w:lastRenderedPageBreak/>
        <w:t>Figure S1.</w:t>
      </w:r>
      <w:r>
        <w:rPr>
          <w:b/>
        </w:rPr>
        <w:t xml:space="preserve"> </w:t>
      </w:r>
      <w:r>
        <w:t>Weekly incidence curves</w:t>
      </w:r>
      <w:r w:rsidRPr="004B4897">
        <w:t xml:space="preserve"> of the four </w:t>
      </w:r>
      <w:r>
        <w:t xml:space="preserve">epidemic </w:t>
      </w:r>
      <w:r w:rsidRPr="004B4897">
        <w:t xml:space="preserve">scenarios of the </w:t>
      </w:r>
      <w:r w:rsidRPr="00C21FFE">
        <w:rPr>
          <w:i/>
          <w:iCs/>
        </w:rPr>
        <w:t>Ebola Forecasting Challenge</w:t>
      </w:r>
      <w:r>
        <w:t xml:space="preserve"> (blue circles)</w:t>
      </w:r>
      <w:r w:rsidRPr="004B4897">
        <w:t xml:space="preserve">. </w:t>
      </w:r>
      <w:r>
        <w:rPr>
          <w:rFonts w:eastAsiaTheme="minorEastAsia" w:cs="Calibri"/>
        </w:rPr>
        <w:t>The dashed vertical lines indicate the start and end weeks of the weekly 4-week ahead forecasts.</w:t>
      </w:r>
    </w:p>
    <w:p w14:paraId="6DE35B45" w14:textId="77777777" w:rsidR="00D42D6E" w:rsidRDefault="00D42D6E" w:rsidP="00D42D6E"/>
    <w:p w14:paraId="46314A18" w14:textId="77777777" w:rsidR="00D42D6E" w:rsidRDefault="00D42D6E" w:rsidP="00D42D6E">
      <w:r>
        <w:rPr>
          <w:noProof/>
        </w:rPr>
        <w:drawing>
          <wp:inline distT="0" distB="0" distL="0" distR="0" wp14:anchorId="6BF46770" wp14:editId="1A312309">
            <wp:extent cx="5943600" cy="4215130"/>
            <wp:effectExtent l="0" t="0" r="0" b="127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 up of a map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07724" w14:textId="6A19C0BF" w:rsidR="00D42D6E" w:rsidRDefault="00D42D6E"/>
    <w:p w14:paraId="79044D3A" w14:textId="77777777" w:rsidR="00D42D6E" w:rsidRDefault="00D42D6E"/>
    <w:p w14:paraId="501BBE4B" w14:textId="77777777" w:rsidR="00D42D6E" w:rsidRDefault="00D42D6E">
      <w:r>
        <w:br w:type="page"/>
      </w:r>
    </w:p>
    <w:p w14:paraId="3AD62D46" w14:textId="07CE7B64" w:rsidR="009770D5" w:rsidRDefault="009770D5">
      <w:r w:rsidRPr="00A55D1A">
        <w:rPr>
          <w:b/>
          <w:bCs/>
        </w:rPr>
        <w:lastRenderedPageBreak/>
        <w:t>Figure S</w:t>
      </w:r>
      <w:r w:rsidR="00AB4422" w:rsidRPr="00A55D1A">
        <w:rPr>
          <w:b/>
          <w:bCs/>
        </w:rPr>
        <w:t>2</w:t>
      </w:r>
      <w:r>
        <w:t xml:space="preserve">. </w:t>
      </w:r>
      <w:r w:rsidR="009D6DFA">
        <w:t>Representative s</w:t>
      </w:r>
      <w:r w:rsidR="009D6DFA" w:rsidRPr="00DC66C1">
        <w:t xml:space="preserve">equential 20-day ahead forecasts </w:t>
      </w:r>
      <w:r w:rsidR="009D6DFA">
        <w:t xml:space="preserve">obtained from individual models (GLM, RIC, GOM) and two ensemble methods applied to synthetic data derived from a </w:t>
      </w:r>
      <w:r w:rsidR="009D6DFA" w:rsidRPr="00B03A79">
        <w:rPr>
          <w:b/>
          <w:bCs/>
        </w:rPr>
        <w:t>stochastic SEIR model</w:t>
      </w:r>
      <w:r w:rsidR="009D6DFA">
        <w:t xml:space="preserve"> </w:t>
      </w:r>
      <w:r w:rsidR="009D6DFA">
        <w:rPr>
          <w:rFonts w:cs="Calibri"/>
        </w:rPr>
        <w:t>with a population size of 100,000 and</w:t>
      </w:r>
      <w:r w:rsidR="00C21FFE">
        <w:rPr>
          <w:rFonts w:cs="Calibri"/>
        </w:rPr>
        <w:t xml:space="preserve"> a </w:t>
      </w:r>
      <w:r w:rsidR="009D6DFA">
        <w:rPr>
          <w:rFonts w:cs="Calibri"/>
        </w:rPr>
        <w:t>time-dependent transmission rate</w:t>
      </w:r>
      <w:r w:rsidR="009D6DFA">
        <w:t xml:space="preserve"> (</w:t>
      </w:r>
      <w:r w:rsidR="009D6DFA" w:rsidRPr="00682728">
        <w:rPr>
          <w:highlight w:val="yellow"/>
        </w:rPr>
        <w:t xml:space="preserve">Figure </w:t>
      </w:r>
      <w:r w:rsidR="00FF2263">
        <w:t>3</w:t>
      </w:r>
      <w:r w:rsidR="009D6DFA">
        <w:t xml:space="preserve">). </w:t>
      </w:r>
      <w:r w:rsidR="009D6DFA" w:rsidRPr="00DC66C1">
        <w:t xml:space="preserve"> </w:t>
      </w:r>
      <w:r w:rsidR="009D6DFA" w:rsidRPr="00DC66C1">
        <w:rPr>
          <w:color w:val="000000"/>
        </w:rPr>
        <w:t>Bl</w:t>
      </w:r>
      <w:r w:rsidR="009D6DFA">
        <w:rPr>
          <w:color w:val="000000"/>
        </w:rPr>
        <w:t>ue</w:t>
      </w:r>
      <w:r w:rsidR="009D6DFA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9D6DFA">
        <w:rPr>
          <w:color w:val="000000"/>
        </w:rPr>
        <w:t xml:space="preserve">The gray shaded areas </w:t>
      </w:r>
      <w:r w:rsidR="00FF2263">
        <w:rPr>
          <w:color w:val="000000"/>
        </w:rPr>
        <w:t>help</w:t>
      </w:r>
      <w:r w:rsidR="009D6DFA">
        <w:rPr>
          <w:color w:val="000000"/>
        </w:rPr>
        <w:t xml:space="preserve"> highlight differences in the 95% prediction intervals </w:t>
      </w:r>
      <w:r w:rsidR="00FF2263">
        <w:rPr>
          <w:color w:val="000000"/>
        </w:rPr>
        <w:t>for the two</w:t>
      </w:r>
      <w:r w:rsidR="009D6DFA">
        <w:rPr>
          <w:color w:val="000000"/>
        </w:rPr>
        <w:t xml:space="preserve"> ensemble methods. </w:t>
      </w:r>
      <w:r w:rsidR="009D6DFA" w:rsidRPr="00DC66C1">
        <w:rPr>
          <w:color w:val="000000"/>
        </w:rPr>
        <w:t>The vertical line separates the calibration period (left) from the forecasting period (right).</w:t>
      </w:r>
    </w:p>
    <w:p w14:paraId="1C1E23BE" w14:textId="6411496F" w:rsidR="009770D5" w:rsidRDefault="009770D5">
      <w:r>
        <w:rPr>
          <w:noProof/>
        </w:rPr>
        <w:drawing>
          <wp:inline distT="0" distB="0" distL="0" distR="0" wp14:anchorId="063B13C0" wp14:editId="0A08CB80">
            <wp:extent cx="5943600" cy="3690620"/>
            <wp:effectExtent l="0" t="0" r="0" b="5080"/>
            <wp:docPr id="5" name="Picture 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0467E" w14:textId="77777777" w:rsidR="009770D5" w:rsidRDefault="009770D5"/>
    <w:p w14:paraId="4A32891A" w14:textId="77777777" w:rsidR="001A7FE7" w:rsidRDefault="001A7FE7"/>
    <w:p w14:paraId="73309BDE" w14:textId="2AD886E4" w:rsidR="001A7FE7" w:rsidRDefault="001A7FE7"/>
    <w:p w14:paraId="4FBB9A64" w14:textId="77777777" w:rsidR="001A7FE7" w:rsidRDefault="001A7FE7"/>
    <w:p w14:paraId="64BBB8DF" w14:textId="77777777" w:rsidR="00366CA7" w:rsidRDefault="00366CA7"/>
    <w:p w14:paraId="1CEA930E" w14:textId="7C0827BE" w:rsidR="009770D5" w:rsidRDefault="009770D5">
      <w:r>
        <w:br w:type="page"/>
      </w:r>
    </w:p>
    <w:p w14:paraId="25C31DFE" w14:textId="283BFA3D" w:rsidR="00B03A79" w:rsidRPr="00B03A79" w:rsidRDefault="009770D5" w:rsidP="00B03A79">
      <w:pPr>
        <w:spacing w:line="360" w:lineRule="auto"/>
        <w:rPr>
          <w:rFonts w:ascii="Calibri" w:hAnsi="Calibri" w:cs="Calibri"/>
        </w:rPr>
      </w:pPr>
      <w:r w:rsidRPr="00B03A79">
        <w:rPr>
          <w:rFonts w:ascii="Calibri" w:hAnsi="Calibri" w:cs="Calibri"/>
          <w:b/>
          <w:bCs/>
        </w:rPr>
        <w:lastRenderedPageBreak/>
        <w:t>Figure S</w:t>
      </w:r>
      <w:r w:rsidR="00A55D1A">
        <w:rPr>
          <w:rFonts w:ascii="Calibri" w:hAnsi="Calibri" w:cs="Calibri"/>
          <w:b/>
          <w:bCs/>
        </w:rPr>
        <w:t>3</w:t>
      </w:r>
      <w:r w:rsidRPr="00B03A79">
        <w:rPr>
          <w:rFonts w:ascii="Calibri" w:hAnsi="Calibri" w:cs="Calibri"/>
          <w:b/>
          <w:bCs/>
        </w:rPr>
        <w:t>.</w:t>
      </w:r>
      <w:r w:rsidRPr="00B03A79">
        <w:rPr>
          <w:rFonts w:ascii="Calibri" w:hAnsi="Calibri" w:cs="Calibri"/>
        </w:rPr>
        <w:t xml:space="preserve">  </w:t>
      </w:r>
      <w:r w:rsidR="00B03A79" w:rsidRPr="00B03A79">
        <w:rPr>
          <w:rFonts w:ascii="Calibri" w:hAnsi="Calibri" w:cs="Calibri"/>
        </w:rPr>
        <w:t xml:space="preserve">Mean performance of the individual models and ensemble models in 1-20 day ahead forecasts from the synthetic data derived from </w:t>
      </w:r>
      <w:r w:rsidR="00B03A79" w:rsidRPr="002B6FEB">
        <w:rPr>
          <w:rFonts w:ascii="Calibri" w:hAnsi="Calibri" w:cs="Calibri"/>
          <w:b/>
          <w:bCs/>
        </w:rPr>
        <w:t>the stochastic SEIR model</w:t>
      </w:r>
      <w:r w:rsidR="00B03A79" w:rsidRPr="00B03A79">
        <w:rPr>
          <w:rFonts w:ascii="Calibri" w:hAnsi="Calibri" w:cs="Calibri"/>
        </w:rPr>
        <w:t xml:space="preserve"> with time-dependent transmission rate (</w:t>
      </w:r>
      <w:r w:rsidR="00B03A79" w:rsidRPr="00B03A79">
        <w:rPr>
          <w:rFonts w:ascii="Calibri" w:hAnsi="Calibri" w:cs="Calibri"/>
          <w:highlight w:val="yellow"/>
        </w:rPr>
        <w:t>Figure</w:t>
      </w:r>
      <w:r w:rsidR="00B03A79" w:rsidRPr="00FF2263">
        <w:rPr>
          <w:rFonts w:ascii="Calibri" w:hAnsi="Calibri" w:cs="Calibri"/>
          <w:highlight w:val="yellow"/>
        </w:rPr>
        <w:t xml:space="preserve"> </w:t>
      </w:r>
      <w:r w:rsidR="00FF2263" w:rsidRPr="00FF2263">
        <w:rPr>
          <w:rFonts w:ascii="Calibri" w:hAnsi="Calibri" w:cs="Calibri"/>
          <w:highlight w:val="yellow"/>
        </w:rPr>
        <w:t>3</w:t>
      </w:r>
      <w:r w:rsidR="00B03A79" w:rsidRPr="00B03A79">
        <w:rPr>
          <w:rFonts w:ascii="Calibri" w:hAnsi="Calibri" w:cs="Calibri"/>
        </w:rPr>
        <w:t>). Our findings indicate that the Ensemble Method 2 outperformed all other models including Ensemble Method 1 based on the coverage rate of the 95% PI, which was closer to 0.95, and the MIS</w:t>
      </w:r>
      <w:r w:rsidR="00FF2263">
        <w:rPr>
          <w:rFonts w:ascii="Calibri" w:hAnsi="Calibri" w:cs="Calibri"/>
        </w:rPr>
        <w:t>.</w:t>
      </w:r>
      <w:r w:rsidR="00B03A79" w:rsidRPr="00B03A79">
        <w:rPr>
          <w:rFonts w:ascii="Calibri" w:hAnsi="Calibri" w:cs="Calibri"/>
        </w:rPr>
        <w:t xml:space="preserve"> Although the RIC model achieved a lower MAE and MSE</w:t>
      </w:r>
      <w:r w:rsidR="00B03A79">
        <w:rPr>
          <w:rFonts w:ascii="Calibri" w:hAnsi="Calibri" w:cs="Calibri"/>
        </w:rPr>
        <w:t xml:space="preserve"> at longer horizons</w:t>
      </w:r>
      <w:r w:rsidR="00B03A79" w:rsidRPr="00B03A79">
        <w:rPr>
          <w:rFonts w:ascii="Calibri" w:hAnsi="Calibri" w:cs="Calibri"/>
        </w:rPr>
        <w:t xml:space="preserve"> compared to both Ensemble Methods, Ensemble Method 2 outperformed the other models including the Ensemble Method 1 based on th</w:t>
      </w:r>
      <w:r w:rsidR="00B03A79">
        <w:rPr>
          <w:rFonts w:ascii="Calibri" w:hAnsi="Calibri" w:cs="Calibri"/>
        </w:rPr>
        <w:t>e coverage rate and the MIS.</w:t>
      </w:r>
    </w:p>
    <w:p w14:paraId="5FE99B3C" w14:textId="49625DE8" w:rsidR="00366CA7" w:rsidRDefault="00366CA7"/>
    <w:p w14:paraId="298095C5" w14:textId="44FE6056" w:rsidR="009770D5" w:rsidRDefault="009770D5"/>
    <w:p w14:paraId="6DC29ECD" w14:textId="1BA8956E" w:rsidR="009770D5" w:rsidRDefault="009770D5">
      <w:r>
        <w:rPr>
          <w:noProof/>
        </w:rPr>
        <w:drawing>
          <wp:inline distT="0" distB="0" distL="0" distR="0" wp14:anchorId="03A52080" wp14:editId="13DF8BCA">
            <wp:extent cx="5943600" cy="3756025"/>
            <wp:effectExtent l="0" t="0" r="0" b="3175"/>
            <wp:docPr id="6" name="Picture 6" descr="A picture containing map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map,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94F2A" w14:textId="21DECC8F" w:rsidR="00EB29E3" w:rsidRDefault="00EB29E3"/>
    <w:p w14:paraId="7B5A5CAB" w14:textId="77777777" w:rsidR="00EB29E3" w:rsidRDefault="00EB29E3"/>
    <w:p w14:paraId="71F6F7F4" w14:textId="2A934CE5" w:rsidR="009770D5" w:rsidRDefault="009770D5"/>
    <w:p w14:paraId="6FF9AD67" w14:textId="77777777" w:rsidR="009770D5" w:rsidRDefault="009770D5"/>
    <w:p w14:paraId="3652F560" w14:textId="5BA0EAB8" w:rsidR="00B316AC" w:rsidRDefault="00B316AC">
      <w:r>
        <w:br w:type="page"/>
      </w:r>
    </w:p>
    <w:p w14:paraId="6101393B" w14:textId="7BE3BC5C" w:rsidR="00B316AC" w:rsidRDefault="00B316AC">
      <w:r w:rsidRPr="00D97938">
        <w:rPr>
          <w:b/>
          <w:bCs/>
        </w:rPr>
        <w:lastRenderedPageBreak/>
        <w:t xml:space="preserve">Figure </w:t>
      </w:r>
      <w:r w:rsidR="00DC1B48">
        <w:rPr>
          <w:b/>
          <w:bCs/>
        </w:rPr>
        <w:t>S4</w:t>
      </w:r>
      <w:r>
        <w:t xml:space="preserve">. </w:t>
      </w:r>
      <w:r w:rsidR="00B6555D">
        <w:t>Representative s</w:t>
      </w:r>
      <w:r w:rsidR="00B6555D" w:rsidRPr="00DC66C1">
        <w:t xml:space="preserve">equential 20-day ahead forecasts </w:t>
      </w:r>
      <w:r w:rsidR="00B6555D">
        <w:t xml:space="preserve">obtained from individual models (GLM, RIC, GOM) and two ensemble methods applied to Scenario 1 of the </w:t>
      </w:r>
      <w:r w:rsidR="00B6555D" w:rsidRPr="00B6555D">
        <w:rPr>
          <w:i/>
          <w:iCs/>
        </w:rPr>
        <w:t>Ebola Forecasting Challenge</w:t>
      </w:r>
      <w:r w:rsidR="00B6555D">
        <w:t xml:space="preserve"> (</w:t>
      </w:r>
      <w:r w:rsidR="00B6555D" w:rsidRPr="00FF2263">
        <w:rPr>
          <w:highlight w:val="yellow"/>
        </w:rPr>
        <w:t xml:space="preserve">Figure </w:t>
      </w:r>
      <w:r w:rsidR="00FF2263" w:rsidRPr="00FF2263">
        <w:rPr>
          <w:highlight w:val="yellow"/>
        </w:rPr>
        <w:t>S1</w:t>
      </w:r>
      <w:r w:rsidR="00B6555D">
        <w:t xml:space="preserve">). </w:t>
      </w:r>
      <w:r w:rsidR="00B6555D" w:rsidRPr="00DC66C1">
        <w:t xml:space="preserve"> </w:t>
      </w:r>
      <w:r w:rsidR="00B6555D" w:rsidRPr="00DC66C1">
        <w:rPr>
          <w:color w:val="000000"/>
        </w:rPr>
        <w:t>Bl</w:t>
      </w:r>
      <w:r w:rsidR="00B6555D">
        <w:rPr>
          <w:color w:val="000000"/>
        </w:rPr>
        <w:t>ue</w:t>
      </w:r>
      <w:r w:rsidR="00B6555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B6555D">
        <w:rPr>
          <w:color w:val="000000"/>
        </w:rPr>
        <w:t xml:space="preserve">The gray shaded areas further highlight differences in the 95% prediction intervals associated with the ensemble methods. </w:t>
      </w:r>
      <w:r w:rsidR="00B6555D" w:rsidRPr="00DC66C1">
        <w:rPr>
          <w:color w:val="000000"/>
        </w:rPr>
        <w:t>The vertical line separates the calibration period (left) from the forecasting period (right).</w:t>
      </w:r>
    </w:p>
    <w:p w14:paraId="2ED3531E" w14:textId="7C287A0A" w:rsidR="00B316AC" w:rsidRDefault="00B316AC"/>
    <w:p w14:paraId="37DED129" w14:textId="4494B93E" w:rsidR="00B316AC" w:rsidRDefault="00B316AC">
      <w:r>
        <w:rPr>
          <w:noProof/>
        </w:rPr>
        <w:drawing>
          <wp:inline distT="0" distB="0" distL="0" distR="0" wp14:anchorId="0C67887D" wp14:editId="315FD5AA">
            <wp:extent cx="5943600" cy="3486785"/>
            <wp:effectExtent l="0" t="0" r="0" b="5715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35B3D" w14:textId="3169B6DA" w:rsidR="00B316AC" w:rsidRDefault="00B316AC"/>
    <w:p w14:paraId="3F9884C3" w14:textId="592A1630" w:rsidR="00B316AC" w:rsidRDefault="00B316AC">
      <w:r>
        <w:br w:type="page"/>
      </w:r>
    </w:p>
    <w:p w14:paraId="2C0EBA0F" w14:textId="7730E5C4" w:rsidR="00B316AC" w:rsidRDefault="00B316AC">
      <w:r w:rsidRPr="00B04D50">
        <w:rPr>
          <w:b/>
          <w:bCs/>
        </w:rPr>
        <w:lastRenderedPageBreak/>
        <w:t>Figure S</w:t>
      </w:r>
      <w:r w:rsidR="00DC1B48" w:rsidRPr="00B04D50">
        <w:rPr>
          <w:b/>
          <w:bCs/>
        </w:rPr>
        <w:t>5</w:t>
      </w:r>
      <w:r>
        <w:t xml:space="preserve">. </w:t>
      </w:r>
      <w:r w:rsidR="00C4672E" w:rsidRPr="00CF7530">
        <w:t xml:space="preserve">Mean performance of the </w:t>
      </w:r>
      <w:r w:rsidR="00C4672E">
        <w:t>individual and ensemble</w:t>
      </w:r>
      <w:r w:rsidR="00C4672E" w:rsidRPr="00CF7530">
        <w:t xml:space="preserve"> models in </w:t>
      </w:r>
      <w:r w:rsidR="00C4672E">
        <w:t>1</w:t>
      </w:r>
      <w:r w:rsidR="00C4672E" w:rsidRPr="00CF7530">
        <w:t xml:space="preserve">-20 day ahead forecasts </w:t>
      </w:r>
      <w:r w:rsidR="00C4672E">
        <w:t xml:space="preserve">from the Scenario 1 of the </w:t>
      </w:r>
      <w:r w:rsidR="00C4672E" w:rsidRPr="00B6555D">
        <w:rPr>
          <w:i/>
          <w:iCs/>
        </w:rPr>
        <w:t>Ebola Forecasting Challenge</w:t>
      </w:r>
      <w:r w:rsidR="00C4672E">
        <w:t xml:space="preserve"> (</w:t>
      </w:r>
      <w:r w:rsidR="00C4672E" w:rsidRPr="00DC1B48">
        <w:rPr>
          <w:highlight w:val="yellow"/>
        </w:rPr>
        <w:t xml:space="preserve">Figure </w:t>
      </w:r>
      <w:r w:rsidR="00DC1B48" w:rsidRPr="00DC1B48">
        <w:rPr>
          <w:highlight w:val="yellow"/>
        </w:rPr>
        <w:t>S1</w:t>
      </w:r>
      <w:r w:rsidR="00C4672E">
        <w:t>)</w:t>
      </w:r>
      <w:r w:rsidR="00C4672E" w:rsidRPr="00CF7530">
        <w:t xml:space="preserve">. </w:t>
      </w:r>
      <w:r w:rsidR="00C4672E" w:rsidRPr="002D627D">
        <w:rPr>
          <w:rFonts w:ascii="Calibri" w:hAnsi="Calibri" w:cs="Calibri"/>
        </w:rPr>
        <w:t xml:space="preserve">Ensemble Method 2 achieved consistently better </w:t>
      </w:r>
      <w:r w:rsidR="00C4672E">
        <w:rPr>
          <w:rFonts w:ascii="Calibri" w:hAnsi="Calibri" w:cs="Calibri"/>
        </w:rPr>
        <w:t xml:space="preserve">performance </w:t>
      </w:r>
      <w:r w:rsidR="00C4672E" w:rsidRPr="002D627D">
        <w:rPr>
          <w:rFonts w:ascii="Calibri" w:hAnsi="Calibri" w:cs="Calibri"/>
        </w:rPr>
        <w:t>across forecasting horizons compared to the Ensemble Method 1 and the individual models</w:t>
      </w:r>
      <w:r w:rsidR="00C4672E">
        <w:rPr>
          <w:rFonts w:ascii="Calibri" w:hAnsi="Calibri" w:cs="Calibri"/>
        </w:rPr>
        <w:t>.</w:t>
      </w:r>
    </w:p>
    <w:p w14:paraId="07AD8D92" w14:textId="0EBE7042" w:rsidR="00B316AC" w:rsidRDefault="00B316AC"/>
    <w:p w14:paraId="5C43809A" w14:textId="57EC7220" w:rsidR="00B316AC" w:rsidRDefault="00F43BF4">
      <w:r>
        <w:rPr>
          <w:noProof/>
        </w:rPr>
        <w:drawing>
          <wp:inline distT="0" distB="0" distL="0" distR="0" wp14:anchorId="5B50F616" wp14:editId="4BFDA03B">
            <wp:extent cx="5590800" cy="3795293"/>
            <wp:effectExtent l="0" t="0" r="0" b="2540"/>
            <wp:docPr id="9" name="Picture 9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 up of a map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8161" cy="380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326D8" w14:textId="77777777" w:rsidR="00F43BF4" w:rsidRDefault="00F43BF4"/>
    <w:p w14:paraId="09BEB9E5" w14:textId="51F09728" w:rsidR="00B316AC" w:rsidRDefault="00B316AC"/>
    <w:p w14:paraId="59E628DF" w14:textId="77777777" w:rsidR="00F43BF4" w:rsidRDefault="00F43BF4"/>
    <w:p w14:paraId="31209A32" w14:textId="77777777" w:rsidR="00F43BF4" w:rsidRDefault="00F43BF4">
      <w:r>
        <w:br w:type="page"/>
      </w:r>
    </w:p>
    <w:p w14:paraId="71CB2AEE" w14:textId="0A369015" w:rsidR="00B316AC" w:rsidRDefault="00B316AC">
      <w:r w:rsidRPr="00775937">
        <w:rPr>
          <w:b/>
          <w:bCs/>
        </w:rPr>
        <w:lastRenderedPageBreak/>
        <w:t>Figure S</w:t>
      </w:r>
      <w:r w:rsidR="00B04D50" w:rsidRPr="00775937">
        <w:rPr>
          <w:b/>
          <w:bCs/>
        </w:rPr>
        <w:t>6</w:t>
      </w:r>
      <w:r>
        <w:t xml:space="preserve">. </w:t>
      </w:r>
      <w:r w:rsidR="00B04D50">
        <w:t>Representative s</w:t>
      </w:r>
      <w:r w:rsidR="00B04D50" w:rsidRPr="00DC66C1">
        <w:t xml:space="preserve">equential 20-day ahead forecasts </w:t>
      </w:r>
      <w:r w:rsidR="00B04D50">
        <w:t xml:space="preserve">obtained from individual models (GLM, RIC, GOM) and two ensemble methods applied to </w:t>
      </w:r>
      <w:r w:rsidR="00B04D50" w:rsidRPr="00B04D50">
        <w:rPr>
          <w:b/>
          <w:bCs/>
        </w:rPr>
        <w:t>Scenario 2</w:t>
      </w:r>
      <w:r w:rsidR="00B04D50">
        <w:t xml:space="preserve"> of the </w:t>
      </w:r>
      <w:r w:rsidR="00B04D50" w:rsidRPr="00B6555D">
        <w:rPr>
          <w:i/>
          <w:iCs/>
        </w:rPr>
        <w:t>Ebola Forecasting Challenge</w:t>
      </w:r>
      <w:r w:rsidR="00B04D50">
        <w:t xml:space="preserve"> (</w:t>
      </w:r>
      <w:r w:rsidR="00B04D50" w:rsidRPr="00682728">
        <w:rPr>
          <w:highlight w:val="yellow"/>
        </w:rPr>
        <w:t>Figur</w:t>
      </w:r>
      <w:r w:rsidR="00B04D50" w:rsidRPr="00020571">
        <w:rPr>
          <w:highlight w:val="yellow"/>
        </w:rPr>
        <w:t xml:space="preserve">e </w:t>
      </w:r>
      <w:r w:rsidR="00020571" w:rsidRPr="00020571">
        <w:rPr>
          <w:highlight w:val="yellow"/>
        </w:rPr>
        <w:t>S1</w:t>
      </w:r>
      <w:r w:rsidR="00B04D50">
        <w:t xml:space="preserve">). </w:t>
      </w:r>
      <w:r w:rsidR="00B04D50" w:rsidRPr="00DC66C1">
        <w:t xml:space="preserve"> </w:t>
      </w:r>
      <w:r w:rsidR="00B04D50" w:rsidRPr="00DC66C1">
        <w:rPr>
          <w:color w:val="000000"/>
        </w:rPr>
        <w:t>Bl</w:t>
      </w:r>
      <w:r w:rsidR="00B04D50">
        <w:rPr>
          <w:color w:val="000000"/>
        </w:rPr>
        <w:t>ue</w:t>
      </w:r>
      <w:r w:rsidR="00B04D50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B04D50">
        <w:rPr>
          <w:color w:val="000000"/>
        </w:rPr>
        <w:t xml:space="preserve">The gray shaded areas further highlight differences in the 95% prediction intervals associated with the ensemble methods. </w:t>
      </w:r>
      <w:r w:rsidR="00B04D50" w:rsidRPr="00DC66C1">
        <w:rPr>
          <w:color w:val="000000"/>
        </w:rPr>
        <w:t>The vertical line separates the calibration period (left) from the forecasting period (right).</w:t>
      </w:r>
    </w:p>
    <w:p w14:paraId="1434AEA2" w14:textId="441C45C2" w:rsidR="00B316AC" w:rsidRDefault="00B316AC"/>
    <w:p w14:paraId="0BACF334" w14:textId="5D28C506" w:rsidR="00B316AC" w:rsidRDefault="00B316AC">
      <w:r>
        <w:rPr>
          <w:noProof/>
        </w:rPr>
        <w:drawing>
          <wp:inline distT="0" distB="0" distL="0" distR="0" wp14:anchorId="46AAACA0" wp14:editId="42BE3DA9">
            <wp:extent cx="5943600" cy="3268345"/>
            <wp:effectExtent l="0" t="0" r="0" b="0"/>
            <wp:docPr id="8" name="Picture 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ma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B60C2" w14:textId="41730970" w:rsidR="00B316AC" w:rsidRDefault="00B316AC"/>
    <w:p w14:paraId="296DF88D" w14:textId="77777777" w:rsidR="00B316AC" w:rsidRDefault="00B316AC"/>
    <w:p w14:paraId="4069C660" w14:textId="77777777" w:rsidR="00B316AC" w:rsidRDefault="00B316AC">
      <w:r>
        <w:br w:type="page"/>
      </w:r>
    </w:p>
    <w:p w14:paraId="753DEFFE" w14:textId="19B47312" w:rsidR="00B316AC" w:rsidRDefault="00B316AC">
      <w:r w:rsidRPr="00775937">
        <w:rPr>
          <w:b/>
          <w:bCs/>
        </w:rPr>
        <w:lastRenderedPageBreak/>
        <w:t>Figure S</w:t>
      </w:r>
      <w:r w:rsidR="00775937" w:rsidRPr="00775937">
        <w:rPr>
          <w:b/>
          <w:bCs/>
        </w:rPr>
        <w:t>7</w:t>
      </w:r>
      <w:r>
        <w:t xml:space="preserve">. </w:t>
      </w:r>
      <w:r w:rsidR="00775937" w:rsidRPr="00CF7530">
        <w:t xml:space="preserve">Mean performance of the </w:t>
      </w:r>
      <w:r w:rsidR="00775937">
        <w:t>individual and ensemble</w:t>
      </w:r>
      <w:r w:rsidR="00775937" w:rsidRPr="00CF7530">
        <w:t xml:space="preserve"> models in </w:t>
      </w:r>
      <w:r w:rsidR="00775937">
        <w:t>1</w:t>
      </w:r>
      <w:r w:rsidR="00775937" w:rsidRPr="00CF7530">
        <w:t xml:space="preserve">-20 day ahead forecasts </w:t>
      </w:r>
      <w:r w:rsidR="00775937">
        <w:t xml:space="preserve">from the Scenario 1 of the </w:t>
      </w:r>
      <w:r w:rsidR="00775937" w:rsidRPr="00B6555D">
        <w:rPr>
          <w:i/>
          <w:iCs/>
        </w:rPr>
        <w:t>Ebola Forecasting Challenge</w:t>
      </w:r>
      <w:r w:rsidR="00775937">
        <w:t xml:space="preserve"> (</w:t>
      </w:r>
      <w:r w:rsidR="00775937" w:rsidRPr="00DC1B48">
        <w:rPr>
          <w:highlight w:val="yellow"/>
        </w:rPr>
        <w:t>Figure S1</w:t>
      </w:r>
      <w:r w:rsidR="00775937">
        <w:t>)</w:t>
      </w:r>
      <w:r w:rsidR="00775937" w:rsidRPr="00CF7530">
        <w:t xml:space="preserve">. </w:t>
      </w:r>
      <w:r w:rsidR="00775937" w:rsidRPr="002D627D">
        <w:rPr>
          <w:rFonts w:ascii="Calibri" w:hAnsi="Calibri" w:cs="Calibri"/>
        </w:rPr>
        <w:t xml:space="preserve">Ensemble Method 2 achieved consistently better </w:t>
      </w:r>
      <w:r w:rsidR="00775937">
        <w:rPr>
          <w:rFonts w:ascii="Calibri" w:hAnsi="Calibri" w:cs="Calibri"/>
        </w:rPr>
        <w:t xml:space="preserve">performance </w:t>
      </w:r>
      <w:r w:rsidR="00775937" w:rsidRPr="002D627D">
        <w:rPr>
          <w:rFonts w:ascii="Calibri" w:hAnsi="Calibri" w:cs="Calibri"/>
        </w:rPr>
        <w:t>across forecasting horizons compared to the Ensemble Method 1 and the individual models</w:t>
      </w:r>
      <w:r w:rsidR="00775937">
        <w:rPr>
          <w:rFonts w:ascii="Calibri" w:hAnsi="Calibri" w:cs="Calibri"/>
        </w:rPr>
        <w:t>.</w:t>
      </w:r>
    </w:p>
    <w:p w14:paraId="608EDE6A" w14:textId="63F76724" w:rsidR="00B316AC" w:rsidRDefault="00B316AC"/>
    <w:p w14:paraId="253CB9BB" w14:textId="37F6AAEB" w:rsidR="00B316AC" w:rsidRDefault="00F43BF4">
      <w:r>
        <w:rPr>
          <w:noProof/>
        </w:rPr>
        <w:drawing>
          <wp:inline distT="0" distB="0" distL="0" distR="0" wp14:anchorId="0D07CAF9" wp14:editId="2258CD11">
            <wp:extent cx="5943600" cy="3486785"/>
            <wp:effectExtent l="0" t="0" r="0" b="5715"/>
            <wp:docPr id="15" name="Picture 1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close up of a map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7522F" w14:textId="77777777" w:rsidR="00B316AC" w:rsidRDefault="00B316AC"/>
    <w:p w14:paraId="7E0F243A" w14:textId="4AC84030" w:rsidR="00B316AC" w:rsidRDefault="00B316AC"/>
    <w:p w14:paraId="6941E942" w14:textId="2F226C19" w:rsidR="00B316AC" w:rsidRDefault="00B316AC"/>
    <w:p w14:paraId="5699D2BF" w14:textId="77777777" w:rsidR="00B316AC" w:rsidRDefault="00B316AC"/>
    <w:p w14:paraId="3AF06933" w14:textId="6465AE54" w:rsidR="00B316AC" w:rsidRDefault="00B316AC"/>
    <w:p w14:paraId="09467593" w14:textId="6F19361B" w:rsidR="00B316AC" w:rsidRDefault="00B316AC"/>
    <w:p w14:paraId="353DA25F" w14:textId="5B1ACED0" w:rsidR="00B316AC" w:rsidRDefault="00B316AC">
      <w:r>
        <w:br w:type="page"/>
      </w:r>
    </w:p>
    <w:p w14:paraId="16268E75" w14:textId="5B35E3BC" w:rsidR="00B316AC" w:rsidRDefault="00B316AC" w:rsidP="00B316AC">
      <w:r w:rsidRPr="00FF2263">
        <w:rPr>
          <w:b/>
          <w:bCs/>
        </w:rPr>
        <w:lastRenderedPageBreak/>
        <w:t>Figure S</w:t>
      </w:r>
      <w:r w:rsidR="00802B69" w:rsidRPr="00FF2263">
        <w:rPr>
          <w:b/>
          <w:bCs/>
        </w:rPr>
        <w:t>8</w:t>
      </w:r>
      <w:r>
        <w:t xml:space="preserve">. </w:t>
      </w:r>
      <w:r w:rsidR="00802B69">
        <w:t>Representative s</w:t>
      </w:r>
      <w:r w:rsidR="00802B69" w:rsidRPr="00DC66C1">
        <w:t xml:space="preserve">equential 20-day ahead forecasts </w:t>
      </w:r>
      <w:r w:rsidR="00802B69">
        <w:t xml:space="preserve">obtained from individual models (GLM, RIC, GOM) and two ensemble methods applied to </w:t>
      </w:r>
      <w:r w:rsidR="00802B69" w:rsidRPr="00B04D50">
        <w:rPr>
          <w:b/>
          <w:bCs/>
        </w:rPr>
        <w:t xml:space="preserve">Scenario </w:t>
      </w:r>
      <w:r w:rsidR="00802B69">
        <w:rPr>
          <w:b/>
          <w:bCs/>
        </w:rPr>
        <w:t>3</w:t>
      </w:r>
      <w:r w:rsidR="00802B69">
        <w:t xml:space="preserve"> of the </w:t>
      </w:r>
      <w:r w:rsidR="00802B69" w:rsidRPr="00B6555D">
        <w:rPr>
          <w:i/>
          <w:iCs/>
        </w:rPr>
        <w:t>Ebola Forecasting Challenge</w:t>
      </w:r>
      <w:r w:rsidR="00802B69">
        <w:t xml:space="preserve"> (</w:t>
      </w:r>
      <w:r w:rsidR="00802B69" w:rsidRPr="00682728">
        <w:rPr>
          <w:highlight w:val="yellow"/>
        </w:rPr>
        <w:t>Figur</w:t>
      </w:r>
      <w:r w:rsidR="00802B69" w:rsidRPr="00020571">
        <w:rPr>
          <w:highlight w:val="yellow"/>
        </w:rPr>
        <w:t>e S1</w:t>
      </w:r>
      <w:r w:rsidR="00802B69">
        <w:t xml:space="preserve">). </w:t>
      </w:r>
      <w:r w:rsidR="00802B69" w:rsidRPr="00DC66C1">
        <w:t xml:space="preserve"> </w:t>
      </w:r>
      <w:r w:rsidR="00802B69" w:rsidRPr="00DC66C1">
        <w:rPr>
          <w:color w:val="000000"/>
        </w:rPr>
        <w:t>Bl</w:t>
      </w:r>
      <w:r w:rsidR="00802B69">
        <w:rPr>
          <w:color w:val="000000"/>
        </w:rPr>
        <w:t>ue</w:t>
      </w:r>
      <w:r w:rsidR="00802B69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802B69">
        <w:rPr>
          <w:color w:val="000000"/>
        </w:rPr>
        <w:t xml:space="preserve">The gray shaded areas further highlight differences in the 95% prediction intervals associated with the ensemble methods. </w:t>
      </w:r>
      <w:r w:rsidR="00802B69" w:rsidRPr="00DC66C1">
        <w:rPr>
          <w:color w:val="000000"/>
        </w:rPr>
        <w:t>The vertical line separates the calibration period (left) from the forecasting period (right).</w:t>
      </w:r>
    </w:p>
    <w:p w14:paraId="4095E7CE" w14:textId="51EAA59F" w:rsidR="00B316AC" w:rsidRDefault="00B316AC" w:rsidP="00B316AC"/>
    <w:p w14:paraId="31E0B229" w14:textId="76D95904" w:rsidR="00B316AC" w:rsidRDefault="00B316AC" w:rsidP="00B316AC">
      <w:r>
        <w:rPr>
          <w:noProof/>
        </w:rPr>
        <w:drawing>
          <wp:inline distT="0" distB="0" distL="0" distR="0" wp14:anchorId="042CADF5" wp14:editId="378EA83F">
            <wp:extent cx="5943600" cy="322516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8F062" w14:textId="39E0B7D2" w:rsidR="00B316AC" w:rsidRDefault="00B316AC" w:rsidP="00B316AC"/>
    <w:p w14:paraId="7CF8D7FD" w14:textId="718309E8" w:rsidR="00B316AC" w:rsidRDefault="00B316AC">
      <w:r>
        <w:br w:type="page"/>
      </w:r>
    </w:p>
    <w:p w14:paraId="4B1FF301" w14:textId="6ABE1133" w:rsidR="00B316AC" w:rsidRDefault="00B316AC" w:rsidP="00B316AC">
      <w:r w:rsidRPr="00802B69">
        <w:rPr>
          <w:b/>
          <w:bCs/>
        </w:rPr>
        <w:lastRenderedPageBreak/>
        <w:t>Figure S</w:t>
      </w:r>
      <w:r w:rsidR="00802B69" w:rsidRPr="00802B69">
        <w:rPr>
          <w:b/>
          <w:bCs/>
        </w:rPr>
        <w:t>9</w:t>
      </w:r>
      <w:r>
        <w:t>.</w:t>
      </w:r>
      <w:r w:rsidR="00FF2263">
        <w:t xml:space="preserve"> </w:t>
      </w:r>
      <w:r w:rsidR="00802B69" w:rsidRPr="00CF7530">
        <w:t xml:space="preserve">Mean performance of the </w:t>
      </w:r>
      <w:r w:rsidR="00802B69">
        <w:t>individual and ensemble</w:t>
      </w:r>
      <w:r w:rsidR="00802B69" w:rsidRPr="00CF7530">
        <w:t xml:space="preserve"> models in </w:t>
      </w:r>
      <w:r w:rsidR="00802B69">
        <w:t>1</w:t>
      </w:r>
      <w:r w:rsidR="00802B69" w:rsidRPr="00CF7530">
        <w:t xml:space="preserve">-20 day ahead forecasts </w:t>
      </w:r>
      <w:r w:rsidR="00802B69">
        <w:t xml:space="preserve">from the Scenario 3 of the </w:t>
      </w:r>
      <w:r w:rsidR="00802B69" w:rsidRPr="00B6555D">
        <w:rPr>
          <w:i/>
          <w:iCs/>
        </w:rPr>
        <w:t>Ebola Forecasting Challenge</w:t>
      </w:r>
      <w:r w:rsidR="00802B69">
        <w:t xml:space="preserve"> (</w:t>
      </w:r>
      <w:r w:rsidR="00802B69" w:rsidRPr="00DC1B48">
        <w:rPr>
          <w:highlight w:val="yellow"/>
        </w:rPr>
        <w:t>Figure S1</w:t>
      </w:r>
      <w:r w:rsidR="00802B69">
        <w:t>)</w:t>
      </w:r>
      <w:r w:rsidR="00802B69" w:rsidRPr="00CF7530">
        <w:t xml:space="preserve">. </w:t>
      </w:r>
      <w:r w:rsidR="00802B69" w:rsidRPr="002D627D">
        <w:rPr>
          <w:rFonts w:ascii="Calibri" w:hAnsi="Calibri" w:cs="Calibri"/>
        </w:rPr>
        <w:t xml:space="preserve">Ensemble Method 2 achieved consistently better </w:t>
      </w:r>
      <w:r w:rsidR="00802B69">
        <w:rPr>
          <w:rFonts w:ascii="Calibri" w:hAnsi="Calibri" w:cs="Calibri"/>
        </w:rPr>
        <w:t xml:space="preserve">performance </w:t>
      </w:r>
      <w:r w:rsidR="00802B69" w:rsidRPr="002D627D">
        <w:rPr>
          <w:rFonts w:ascii="Calibri" w:hAnsi="Calibri" w:cs="Calibri"/>
        </w:rPr>
        <w:t>across forecasting horizons compared to the Ensemble Method 1 and the individual models</w:t>
      </w:r>
      <w:r w:rsidR="00802B69">
        <w:rPr>
          <w:rFonts w:ascii="Calibri" w:hAnsi="Calibri" w:cs="Calibri"/>
        </w:rPr>
        <w:t>.</w:t>
      </w:r>
    </w:p>
    <w:p w14:paraId="5329C9EC" w14:textId="053453CE" w:rsidR="00B316AC" w:rsidRDefault="00B316AC" w:rsidP="00B316AC"/>
    <w:p w14:paraId="437FBCFC" w14:textId="77777777" w:rsidR="00B316AC" w:rsidRDefault="00B316AC" w:rsidP="00B316AC"/>
    <w:p w14:paraId="18F8BB41" w14:textId="44CD69E7" w:rsidR="00B316AC" w:rsidRDefault="00F43BF4" w:rsidP="00B316AC">
      <w:r>
        <w:rPr>
          <w:noProof/>
        </w:rPr>
        <w:drawing>
          <wp:inline distT="0" distB="0" distL="0" distR="0" wp14:anchorId="17649C3D" wp14:editId="58DCA667">
            <wp:extent cx="5943600" cy="3609975"/>
            <wp:effectExtent l="0" t="0" r="0" b="0"/>
            <wp:docPr id="16" name="Picture 16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close up of a map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14607" w14:textId="1CB0ACA4" w:rsidR="00B316AC" w:rsidRDefault="00B316AC" w:rsidP="00B316AC"/>
    <w:p w14:paraId="40DBDC88" w14:textId="4DA815C9" w:rsidR="00B316AC" w:rsidRDefault="00B316AC">
      <w:r>
        <w:br w:type="page"/>
      </w:r>
    </w:p>
    <w:p w14:paraId="18BF7FD1" w14:textId="0BB32076" w:rsidR="00B316AC" w:rsidRDefault="00B316AC" w:rsidP="00B316AC">
      <w:r w:rsidRPr="00E12A0C">
        <w:rPr>
          <w:b/>
          <w:bCs/>
        </w:rPr>
        <w:lastRenderedPageBreak/>
        <w:t>Figure S</w:t>
      </w:r>
      <w:r w:rsidR="00E12A0C" w:rsidRPr="00E12A0C">
        <w:rPr>
          <w:b/>
          <w:bCs/>
        </w:rPr>
        <w:t>10</w:t>
      </w:r>
      <w:r>
        <w:t xml:space="preserve">. </w:t>
      </w:r>
      <w:r w:rsidR="00F73FAC">
        <w:t>Representative s</w:t>
      </w:r>
      <w:r w:rsidR="00F73FAC" w:rsidRPr="00DC66C1">
        <w:t xml:space="preserve">equential 20-day ahead forecasts </w:t>
      </w:r>
      <w:r w:rsidR="00F73FAC">
        <w:t xml:space="preserve">obtained from individual models (GLM, RIC, GOM) and two ensemble methods applied to </w:t>
      </w:r>
      <w:r w:rsidR="00F73FAC" w:rsidRPr="00E12A0C">
        <w:rPr>
          <w:b/>
          <w:bCs/>
        </w:rPr>
        <w:t>Scenario 4</w:t>
      </w:r>
      <w:r w:rsidR="00F73FAC">
        <w:t xml:space="preserve"> of the </w:t>
      </w:r>
      <w:r w:rsidR="00F73FAC" w:rsidRPr="00B6555D">
        <w:rPr>
          <w:i/>
          <w:iCs/>
        </w:rPr>
        <w:t>Ebola Forecasting Challenge</w:t>
      </w:r>
      <w:r w:rsidR="00F73FAC">
        <w:t xml:space="preserve"> (</w:t>
      </w:r>
      <w:r w:rsidR="00F73FAC" w:rsidRPr="00456A18">
        <w:rPr>
          <w:highlight w:val="yellow"/>
        </w:rPr>
        <w:t xml:space="preserve">Figure </w:t>
      </w:r>
      <w:r w:rsidR="00456A18" w:rsidRPr="00456A18">
        <w:rPr>
          <w:highlight w:val="yellow"/>
        </w:rPr>
        <w:t>S1</w:t>
      </w:r>
      <w:r w:rsidR="00F73FAC">
        <w:t xml:space="preserve">). </w:t>
      </w:r>
      <w:r w:rsidR="00F73FAC" w:rsidRPr="00DC66C1">
        <w:t xml:space="preserve"> </w:t>
      </w:r>
      <w:r w:rsidR="00F73FAC" w:rsidRPr="00DC66C1">
        <w:rPr>
          <w:color w:val="000000"/>
        </w:rPr>
        <w:t>Bl</w:t>
      </w:r>
      <w:r w:rsidR="00F73FAC">
        <w:rPr>
          <w:color w:val="000000"/>
        </w:rPr>
        <w:t>ue</w:t>
      </w:r>
      <w:r w:rsidR="00F73FAC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F73FAC">
        <w:rPr>
          <w:color w:val="000000"/>
        </w:rPr>
        <w:t xml:space="preserve">The gray shaded areas further highlight differences in the 95% prediction intervals associated with the ensemble methods. </w:t>
      </w:r>
      <w:r w:rsidR="00F73FAC" w:rsidRPr="00DC66C1">
        <w:rPr>
          <w:color w:val="000000"/>
        </w:rPr>
        <w:t>The vertical line separates the calibration period (left) from the forecasting period (right).</w:t>
      </w:r>
    </w:p>
    <w:p w14:paraId="72FA2968" w14:textId="0213737F" w:rsidR="00B316AC" w:rsidRDefault="00B316AC" w:rsidP="00B316AC"/>
    <w:p w14:paraId="3F42743A" w14:textId="77777777" w:rsidR="00B316AC" w:rsidRDefault="00B316AC" w:rsidP="00B316AC"/>
    <w:p w14:paraId="4458ABB1" w14:textId="05177725" w:rsidR="00B316AC" w:rsidRDefault="00B316AC" w:rsidP="00B316AC">
      <w:r>
        <w:rPr>
          <w:noProof/>
        </w:rPr>
        <w:drawing>
          <wp:inline distT="0" distB="0" distL="0" distR="0" wp14:anchorId="11650C70" wp14:editId="7DFD9A5A">
            <wp:extent cx="5943600" cy="3435350"/>
            <wp:effectExtent l="0" t="0" r="0" b="6350"/>
            <wp:docPr id="13" name="Picture 13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map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27113" w14:textId="32641F03" w:rsidR="00B316AC" w:rsidRDefault="00B316AC" w:rsidP="00B316AC"/>
    <w:p w14:paraId="460690AE" w14:textId="04E92DD8" w:rsidR="00B316AC" w:rsidRDefault="00B316AC">
      <w:r>
        <w:br w:type="page"/>
      </w:r>
    </w:p>
    <w:p w14:paraId="0A99584E" w14:textId="74E20719" w:rsidR="00B316AC" w:rsidRDefault="00E12A0C" w:rsidP="00B316AC">
      <w:r w:rsidRPr="00E12A0C">
        <w:rPr>
          <w:b/>
          <w:bCs/>
        </w:rPr>
        <w:lastRenderedPageBreak/>
        <w:t>Figure S1</w:t>
      </w:r>
      <w:r>
        <w:rPr>
          <w:b/>
          <w:bCs/>
        </w:rPr>
        <w:t>1</w:t>
      </w:r>
      <w:r w:rsidR="00B316AC">
        <w:t xml:space="preserve">. </w:t>
      </w:r>
      <w:r w:rsidR="00F73FAC" w:rsidRPr="00CF7530">
        <w:t xml:space="preserve">Mean performance of the </w:t>
      </w:r>
      <w:r w:rsidR="00F73FAC">
        <w:t>individual and ensemble</w:t>
      </w:r>
      <w:r w:rsidR="00F73FAC" w:rsidRPr="00CF7530">
        <w:t xml:space="preserve"> models in </w:t>
      </w:r>
      <w:r w:rsidR="00F73FAC">
        <w:t>1</w:t>
      </w:r>
      <w:r w:rsidR="00F73FAC" w:rsidRPr="00CF7530">
        <w:t xml:space="preserve">-20 day ahead forecasts </w:t>
      </w:r>
      <w:r w:rsidR="00F73FAC">
        <w:t xml:space="preserve">from the </w:t>
      </w:r>
      <w:r w:rsidR="00F73FAC" w:rsidRPr="00FF2263">
        <w:rPr>
          <w:b/>
          <w:bCs/>
        </w:rPr>
        <w:t>Scenario 4</w:t>
      </w:r>
      <w:r w:rsidR="00F73FAC">
        <w:t xml:space="preserve"> of the </w:t>
      </w:r>
      <w:r w:rsidR="00F73FAC" w:rsidRPr="00B6555D">
        <w:rPr>
          <w:i/>
          <w:iCs/>
        </w:rPr>
        <w:t>Ebola Forecasting Challenge</w:t>
      </w:r>
      <w:r w:rsidR="00F73FAC">
        <w:t xml:space="preserve"> (</w:t>
      </w:r>
      <w:r w:rsidR="00F73FAC" w:rsidRPr="00456A18">
        <w:rPr>
          <w:highlight w:val="yellow"/>
        </w:rPr>
        <w:t xml:space="preserve">Figure </w:t>
      </w:r>
      <w:r w:rsidR="00456A18" w:rsidRPr="00456A18">
        <w:rPr>
          <w:highlight w:val="yellow"/>
        </w:rPr>
        <w:t>S1</w:t>
      </w:r>
      <w:r w:rsidR="00F73FAC">
        <w:t>)</w:t>
      </w:r>
      <w:r w:rsidR="00F73FAC" w:rsidRPr="00CF7530">
        <w:t xml:space="preserve">. </w:t>
      </w:r>
      <w:r w:rsidR="00F73FAC" w:rsidRPr="002D627D">
        <w:rPr>
          <w:rFonts w:ascii="Calibri" w:hAnsi="Calibri" w:cs="Calibri"/>
        </w:rPr>
        <w:t xml:space="preserve">Ensemble Method 2 achieved consistently better </w:t>
      </w:r>
      <w:r w:rsidR="00F73FAC">
        <w:rPr>
          <w:rFonts w:ascii="Calibri" w:hAnsi="Calibri" w:cs="Calibri"/>
        </w:rPr>
        <w:t xml:space="preserve">performance </w:t>
      </w:r>
      <w:r w:rsidR="00F73FAC" w:rsidRPr="002D627D">
        <w:rPr>
          <w:rFonts w:ascii="Calibri" w:hAnsi="Calibri" w:cs="Calibri"/>
        </w:rPr>
        <w:t>across forecasting horizons compared to the Ensemble Method 1 and the individual models</w:t>
      </w:r>
      <w:r w:rsidR="00F73FAC">
        <w:rPr>
          <w:rFonts w:ascii="Calibri" w:hAnsi="Calibri" w:cs="Calibri"/>
        </w:rPr>
        <w:t>.</w:t>
      </w:r>
    </w:p>
    <w:p w14:paraId="4484F04D" w14:textId="77777777" w:rsidR="00B316AC" w:rsidRDefault="00B316AC" w:rsidP="00B316AC"/>
    <w:p w14:paraId="009067A7" w14:textId="77777777" w:rsidR="00B316AC" w:rsidRDefault="00B316AC" w:rsidP="00B316AC"/>
    <w:p w14:paraId="0AC153BC" w14:textId="42C2DC2F" w:rsidR="00B316AC" w:rsidRDefault="00B316AC" w:rsidP="00B316AC">
      <w:r>
        <w:rPr>
          <w:noProof/>
        </w:rPr>
        <w:drawing>
          <wp:inline distT="0" distB="0" distL="0" distR="0" wp14:anchorId="479C20EC" wp14:editId="2EB3CCC1">
            <wp:extent cx="5943600" cy="3537585"/>
            <wp:effectExtent l="0" t="0" r="0" b="5715"/>
            <wp:docPr id="14" name="Picture 1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 up of a map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5C945" w14:textId="0ACC341A" w:rsidR="00B316AC" w:rsidRDefault="00B316AC" w:rsidP="00B316AC"/>
    <w:p w14:paraId="56F78D2E" w14:textId="71EFFF57" w:rsidR="00B316AC" w:rsidRDefault="00B316AC" w:rsidP="00B316AC"/>
    <w:p w14:paraId="1F23A072" w14:textId="77777777" w:rsidR="00B316AC" w:rsidRDefault="00B316AC" w:rsidP="00B316AC"/>
    <w:p w14:paraId="2E7CE1FF" w14:textId="6033E742" w:rsidR="00B316AC" w:rsidRDefault="00B316AC"/>
    <w:p w14:paraId="423BB721" w14:textId="23E8A1C0" w:rsidR="00B316AC" w:rsidRDefault="00B316AC"/>
    <w:p w14:paraId="3E2F7CE9" w14:textId="77777777" w:rsidR="00F43BF4" w:rsidRDefault="00F43BF4"/>
    <w:p w14:paraId="77C7DDD4" w14:textId="77777777" w:rsidR="00F43BF4" w:rsidRDefault="00F43BF4">
      <w:r>
        <w:br w:type="page"/>
      </w:r>
    </w:p>
    <w:p w14:paraId="0F110271" w14:textId="1FCB9FF9" w:rsidR="00F43BF4" w:rsidRDefault="00F43BF4">
      <w:r w:rsidRPr="00B409C3">
        <w:rPr>
          <w:b/>
          <w:bCs/>
        </w:rPr>
        <w:lastRenderedPageBreak/>
        <w:t xml:space="preserve">Figure </w:t>
      </w:r>
      <w:r w:rsidR="00B409C3" w:rsidRPr="00B409C3">
        <w:rPr>
          <w:b/>
          <w:bCs/>
        </w:rPr>
        <w:t>S12</w:t>
      </w:r>
      <w:r>
        <w:t xml:space="preserve">. </w:t>
      </w:r>
      <w:r w:rsidR="00B409C3">
        <w:t>Representative s</w:t>
      </w:r>
      <w:r w:rsidR="00B409C3" w:rsidRPr="00DC66C1">
        <w:t xml:space="preserve">equential 20-day ahead forecasts </w:t>
      </w:r>
      <w:r w:rsidR="00B409C3">
        <w:t>obtained from individual models (GLM, RIC, GOM) and two ensemble methods applied to</w:t>
      </w:r>
      <w:r w:rsidR="00B409C3">
        <w:rPr>
          <w:b/>
          <w:bCs/>
        </w:rPr>
        <w:t xml:space="preserve"> the 2009 A/H1N1 influenza pandemic in Manitoba, Canada.</w:t>
      </w:r>
      <w:r w:rsidR="00B409C3" w:rsidRPr="00DC66C1">
        <w:t xml:space="preserve"> </w:t>
      </w:r>
      <w:r w:rsidR="00B409C3" w:rsidRPr="00DC66C1">
        <w:rPr>
          <w:color w:val="000000"/>
        </w:rPr>
        <w:t>Bl</w:t>
      </w:r>
      <w:r w:rsidR="00B409C3">
        <w:rPr>
          <w:color w:val="000000"/>
        </w:rPr>
        <w:t>ue</w:t>
      </w:r>
      <w:r w:rsidR="00B409C3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B409C3">
        <w:rPr>
          <w:color w:val="000000"/>
        </w:rPr>
        <w:t xml:space="preserve">The gray shaded areas further highlight differences in the 95% prediction intervals associated with the ensemble methods. </w:t>
      </w:r>
      <w:r w:rsidR="00B409C3" w:rsidRPr="00DC66C1">
        <w:rPr>
          <w:color w:val="000000"/>
        </w:rPr>
        <w:t>The vertical line separates the calibration period (left) from the forecasting period (right).</w:t>
      </w:r>
    </w:p>
    <w:p w14:paraId="5DDA7C44" w14:textId="7A8B51ED" w:rsidR="00F43BF4" w:rsidRDefault="00F43BF4">
      <w:r>
        <w:rPr>
          <w:noProof/>
        </w:rPr>
        <w:drawing>
          <wp:inline distT="0" distB="0" distL="0" distR="0" wp14:anchorId="3774FC6B" wp14:editId="7829E6E2">
            <wp:extent cx="5943600" cy="3304540"/>
            <wp:effectExtent l="0" t="0" r="0" b="0"/>
            <wp:docPr id="17" name="Picture 17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close up of a map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2EB9B" w14:textId="0EFFC9D4" w:rsidR="00F43BF4" w:rsidRDefault="00F43BF4"/>
    <w:p w14:paraId="05EE75ED" w14:textId="0DD17C4D" w:rsidR="00F43BF4" w:rsidRDefault="00F43BF4">
      <w:r>
        <w:br w:type="page"/>
      </w:r>
    </w:p>
    <w:p w14:paraId="796CC779" w14:textId="46DF825B" w:rsidR="00F43BF4" w:rsidRDefault="00F43BF4" w:rsidP="00F43BF4">
      <w:r w:rsidRPr="00822106">
        <w:rPr>
          <w:b/>
          <w:bCs/>
        </w:rPr>
        <w:lastRenderedPageBreak/>
        <w:t>Figure</w:t>
      </w:r>
      <w:r w:rsidR="00822106" w:rsidRPr="00822106">
        <w:rPr>
          <w:b/>
          <w:bCs/>
        </w:rPr>
        <w:t xml:space="preserve"> S13</w:t>
      </w:r>
      <w:r w:rsidR="00822106">
        <w:t xml:space="preserve">. </w:t>
      </w:r>
      <w:r>
        <w:t xml:space="preserve"> </w:t>
      </w:r>
      <w:r w:rsidR="00822106">
        <w:t>Representative s</w:t>
      </w:r>
      <w:r w:rsidR="00822106" w:rsidRPr="00DC66C1">
        <w:t xml:space="preserve">equential 20-day ahead forecasts </w:t>
      </w:r>
      <w:r w:rsidR="00822106">
        <w:t>obtained from individual models (GLM, RIC, GOM) and two ensemble methods applied to</w:t>
      </w:r>
      <w:r w:rsidR="00822106">
        <w:rPr>
          <w:b/>
          <w:bCs/>
        </w:rPr>
        <w:t xml:space="preserve"> 1918 influenza pandemic in San Francisco. </w:t>
      </w:r>
      <w:r w:rsidR="00822106" w:rsidRPr="00DC66C1">
        <w:rPr>
          <w:color w:val="000000"/>
        </w:rPr>
        <w:t>Bl</w:t>
      </w:r>
      <w:r w:rsidR="00822106">
        <w:rPr>
          <w:color w:val="000000"/>
        </w:rPr>
        <w:t>ue</w:t>
      </w:r>
      <w:r w:rsidR="00822106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822106">
        <w:rPr>
          <w:color w:val="000000"/>
        </w:rPr>
        <w:t xml:space="preserve">The gray shaded areas further highlight differences in the 95% prediction intervals associated with the ensemble methods. </w:t>
      </w:r>
      <w:r w:rsidR="00822106" w:rsidRPr="00DC66C1">
        <w:rPr>
          <w:color w:val="000000"/>
        </w:rPr>
        <w:t>The vertical line separates the calibration period (left) from the forecasting period (right).</w:t>
      </w:r>
    </w:p>
    <w:p w14:paraId="59F8E808" w14:textId="3CEA6B60" w:rsidR="00F43BF4" w:rsidRDefault="00F43BF4" w:rsidP="00F43BF4"/>
    <w:p w14:paraId="08260E02" w14:textId="59FD9B93" w:rsidR="00F43BF4" w:rsidRDefault="00F43BF4" w:rsidP="00F43BF4">
      <w:r>
        <w:rPr>
          <w:noProof/>
        </w:rPr>
        <w:drawing>
          <wp:inline distT="0" distB="0" distL="0" distR="0" wp14:anchorId="71462D8B" wp14:editId="3CB92DD0">
            <wp:extent cx="5943600" cy="3080385"/>
            <wp:effectExtent l="0" t="0" r="0" b="5715"/>
            <wp:docPr id="18" name="Picture 1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close up of a map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A451A" w14:textId="4AA6B207" w:rsidR="00F43BF4" w:rsidRDefault="00F43BF4"/>
    <w:p w14:paraId="78088C68" w14:textId="7AFF7820" w:rsidR="00F43BF4" w:rsidRDefault="00F43BF4"/>
    <w:p w14:paraId="35B057B1" w14:textId="4920E2B7" w:rsidR="00F43BF4" w:rsidRDefault="00F43BF4">
      <w:r>
        <w:br w:type="page"/>
      </w:r>
    </w:p>
    <w:p w14:paraId="5324C180" w14:textId="212019FC" w:rsidR="00F43BF4" w:rsidRDefault="00F43BF4">
      <w:r w:rsidRPr="0072474D">
        <w:rPr>
          <w:b/>
          <w:bCs/>
        </w:rPr>
        <w:lastRenderedPageBreak/>
        <w:t xml:space="preserve">Figure </w:t>
      </w:r>
      <w:r w:rsidR="0072474D" w:rsidRPr="0072474D">
        <w:rPr>
          <w:b/>
          <w:bCs/>
        </w:rPr>
        <w:t>S14</w:t>
      </w:r>
      <w:r>
        <w:t xml:space="preserve">. </w:t>
      </w:r>
      <w:r w:rsidR="0072474D">
        <w:t>Representative s</w:t>
      </w:r>
      <w:r w:rsidR="0072474D" w:rsidRPr="00DC66C1">
        <w:t xml:space="preserve">equential 20-day ahead forecasts </w:t>
      </w:r>
      <w:r w:rsidR="0072474D">
        <w:t>obtained from individual models (GLM, RIC, GOM) and two ensemble methods applied to</w:t>
      </w:r>
      <w:r w:rsidR="0072474D">
        <w:rPr>
          <w:b/>
          <w:bCs/>
        </w:rPr>
        <w:t xml:space="preserve"> plague epidemic in Madagascar. </w:t>
      </w:r>
      <w:r w:rsidR="0072474D" w:rsidRPr="00DC66C1">
        <w:rPr>
          <w:color w:val="000000"/>
        </w:rPr>
        <w:t>Bl</w:t>
      </w:r>
      <w:r w:rsidR="0072474D">
        <w:rPr>
          <w:color w:val="000000"/>
        </w:rPr>
        <w:t>ue</w:t>
      </w:r>
      <w:r w:rsidR="0072474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72474D">
        <w:rPr>
          <w:color w:val="000000"/>
        </w:rPr>
        <w:t xml:space="preserve">The gray shaded areas further highlight differences in the 95% prediction intervals associated with the ensemble methods. </w:t>
      </w:r>
      <w:r w:rsidR="0072474D" w:rsidRPr="00DC66C1">
        <w:rPr>
          <w:color w:val="000000"/>
        </w:rPr>
        <w:t>The vertical line separates the calibration period (left) from the forecasting period (right).</w:t>
      </w:r>
    </w:p>
    <w:p w14:paraId="23E8A261" w14:textId="4FC0929C" w:rsidR="00F43BF4" w:rsidRDefault="00F43BF4">
      <w:r>
        <w:rPr>
          <w:noProof/>
        </w:rPr>
        <w:drawing>
          <wp:inline distT="0" distB="0" distL="0" distR="0" wp14:anchorId="71C38FC8" wp14:editId="4AEBB661">
            <wp:extent cx="5943600" cy="3450590"/>
            <wp:effectExtent l="0" t="0" r="0" b="3810"/>
            <wp:docPr id="19" name="Picture 19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text, map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54FAD" w14:textId="26E4000E" w:rsidR="00F43BF4" w:rsidRDefault="00F43BF4"/>
    <w:p w14:paraId="13E2DEB3" w14:textId="018622B1" w:rsidR="00F43BF4" w:rsidRDefault="00F43BF4">
      <w:r>
        <w:br w:type="page"/>
      </w:r>
    </w:p>
    <w:p w14:paraId="015A099B" w14:textId="49F5C045" w:rsidR="007F6BDC" w:rsidRDefault="007F6BDC">
      <w:r w:rsidRPr="0072474D">
        <w:rPr>
          <w:b/>
          <w:bCs/>
        </w:rPr>
        <w:lastRenderedPageBreak/>
        <w:t xml:space="preserve">Figure </w:t>
      </w:r>
      <w:r w:rsidR="0072474D" w:rsidRPr="0072474D">
        <w:rPr>
          <w:b/>
          <w:bCs/>
        </w:rPr>
        <w:t>S15</w:t>
      </w:r>
      <w:r>
        <w:t xml:space="preserve">.  </w:t>
      </w:r>
      <w:r w:rsidR="0072474D">
        <w:t>Representative s</w:t>
      </w:r>
      <w:r w:rsidR="0072474D" w:rsidRPr="00DC66C1">
        <w:t xml:space="preserve">equential 20-day ahead forecasts </w:t>
      </w:r>
      <w:r w:rsidR="0072474D">
        <w:t>obtained from individual models (GLM, RIC, GOM) and two ensemble methods applied to</w:t>
      </w:r>
      <w:r w:rsidR="0072474D">
        <w:rPr>
          <w:b/>
          <w:bCs/>
        </w:rPr>
        <w:t xml:space="preserve"> 2003 SARS outbreak in Singapore. </w:t>
      </w:r>
      <w:r w:rsidR="0072474D" w:rsidRPr="00DC66C1">
        <w:rPr>
          <w:color w:val="000000"/>
        </w:rPr>
        <w:t>Bl</w:t>
      </w:r>
      <w:r w:rsidR="0072474D">
        <w:rPr>
          <w:color w:val="000000"/>
        </w:rPr>
        <w:t>ue</w:t>
      </w:r>
      <w:r w:rsidR="0072474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72474D">
        <w:rPr>
          <w:color w:val="000000"/>
        </w:rPr>
        <w:t xml:space="preserve">The gray shaded areas further highlight differences in the 95% prediction intervals associated with the ensemble methods. </w:t>
      </w:r>
      <w:r w:rsidR="0072474D" w:rsidRPr="00DC66C1">
        <w:rPr>
          <w:color w:val="000000"/>
        </w:rPr>
        <w:t>The vertical line separates the calibration period (left) from the forecasting period (right).</w:t>
      </w:r>
    </w:p>
    <w:p w14:paraId="7C70290D" w14:textId="75E3C9FC" w:rsidR="007F6BDC" w:rsidRDefault="007F6BDC"/>
    <w:p w14:paraId="3EC8C8E6" w14:textId="33937264" w:rsidR="007F6BDC" w:rsidRDefault="007F6BDC">
      <w:r>
        <w:rPr>
          <w:noProof/>
        </w:rPr>
        <w:drawing>
          <wp:inline distT="0" distB="0" distL="0" distR="0" wp14:anchorId="3A982BF0" wp14:editId="5A3C7DC4">
            <wp:extent cx="5943600" cy="3432175"/>
            <wp:effectExtent l="0" t="0" r="0" b="0"/>
            <wp:docPr id="23" name="Picture 2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close up of a map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D46CF" w14:textId="77777777" w:rsidR="007F6BDC" w:rsidRDefault="007F6BDC"/>
    <w:p w14:paraId="0614C9F8" w14:textId="77777777" w:rsidR="007F6BDC" w:rsidRDefault="007F6BDC">
      <w:r>
        <w:br w:type="page"/>
      </w:r>
    </w:p>
    <w:p w14:paraId="11ED937B" w14:textId="30BB1152" w:rsidR="00F43BF4" w:rsidRDefault="00F43BF4">
      <w:r w:rsidRPr="0072474D">
        <w:rPr>
          <w:b/>
          <w:bCs/>
        </w:rPr>
        <w:lastRenderedPageBreak/>
        <w:t xml:space="preserve">Figure </w:t>
      </w:r>
      <w:r w:rsidR="0072474D" w:rsidRPr="0072474D">
        <w:rPr>
          <w:b/>
          <w:bCs/>
        </w:rPr>
        <w:t>S16</w:t>
      </w:r>
      <w:r>
        <w:t xml:space="preserve">.  </w:t>
      </w:r>
      <w:r w:rsidR="0072474D">
        <w:t>Representative s</w:t>
      </w:r>
      <w:r w:rsidR="0072474D" w:rsidRPr="00DC66C1">
        <w:t xml:space="preserve">equential 20-day ahead forecasts </w:t>
      </w:r>
      <w:r w:rsidR="0072474D">
        <w:t>obtained from individual models (GLM, RIC, GOM) and two ensemble methods applied to</w:t>
      </w:r>
      <w:r w:rsidR="0072474D">
        <w:rPr>
          <w:b/>
          <w:bCs/>
        </w:rPr>
        <w:t xml:space="preserve"> the COVID-19 epidemic in Guangdong. </w:t>
      </w:r>
      <w:r w:rsidR="0072474D" w:rsidRPr="00DC66C1">
        <w:rPr>
          <w:color w:val="000000"/>
        </w:rPr>
        <w:t>Bl</w:t>
      </w:r>
      <w:r w:rsidR="0072474D">
        <w:rPr>
          <w:color w:val="000000"/>
        </w:rPr>
        <w:t>ue</w:t>
      </w:r>
      <w:r w:rsidR="0072474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72474D">
        <w:rPr>
          <w:color w:val="000000"/>
        </w:rPr>
        <w:t xml:space="preserve">The gray shaded areas further highlight differences in the 95% prediction intervals associated with the ensemble methods. </w:t>
      </w:r>
      <w:r w:rsidR="0072474D" w:rsidRPr="00DC66C1">
        <w:rPr>
          <w:color w:val="000000"/>
        </w:rPr>
        <w:t>The vertical line separates the calibration period (left) from the forecasting period (right).</w:t>
      </w:r>
    </w:p>
    <w:p w14:paraId="21CB1E53" w14:textId="77777777" w:rsidR="00F43BF4" w:rsidRDefault="00F43BF4"/>
    <w:p w14:paraId="37D65EAA" w14:textId="35FA6E35" w:rsidR="00F43BF4" w:rsidRDefault="00F43BF4"/>
    <w:p w14:paraId="6362C7E9" w14:textId="085710C0" w:rsidR="00F43BF4" w:rsidRDefault="00F43BF4">
      <w:r>
        <w:rPr>
          <w:noProof/>
        </w:rPr>
        <w:drawing>
          <wp:inline distT="0" distB="0" distL="0" distR="0" wp14:anchorId="784037B6" wp14:editId="68F7323D">
            <wp:extent cx="5943600" cy="3167380"/>
            <wp:effectExtent l="0" t="0" r="0" b="0"/>
            <wp:docPr id="20" name="Picture 20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close up of a map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A4AE1" w14:textId="595DD24E" w:rsidR="00F43BF4" w:rsidRDefault="00F43BF4"/>
    <w:p w14:paraId="51A42DEA" w14:textId="77777777" w:rsidR="00F43BF4" w:rsidRDefault="00F43BF4">
      <w:r>
        <w:br w:type="page"/>
      </w:r>
    </w:p>
    <w:p w14:paraId="7F59F178" w14:textId="751C7980" w:rsidR="00F43BF4" w:rsidRDefault="00F43BF4">
      <w:r w:rsidRPr="0072474D">
        <w:rPr>
          <w:b/>
          <w:bCs/>
        </w:rPr>
        <w:lastRenderedPageBreak/>
        <w:t xml:space="preserve">Figure </w:t>
      </w:r>
      <w:r w:rsidR="0072474D" w:rsidRPr="0072474D">
        <w:rPr>
          <w:b/>
          <w:bCs/>
        </w:rPr>
        <w:t>S17</w:t>
      </w:r>
      <w:r>
        <w:t xml:space="preserve">. </w:t>
      </w:r>
      <w:r w:rsidR="0072474D">
        <w:t>Representative s</w:t>
      </w:r>
      <w:r w:rsidR="0072474D" w:rsidRPr="00DC66C1">
        <w:t xml:space="preserve">equential 20-day ahead forecasts </w:t>
      </w:r>
      <w:r w:rsidR="0072474D">
        <w:t>obtained from individual models (GLM, RIC, GOM) and two ensemble methods applied to</w:t>
      </w:r>
      <w:r w:rsidR="0072474D">
        <w:rPr>
          <w:b/>
          <w:bCs/>
        </w:rPr>
        <w:t xml:space="preserve"> the COVID-19 epidemic in Henan. </w:t>
      </w:r>
      <w:r w:rsidR="0072474D" w:rsidRPr="00DC66C1">
        <w:rPr>
          <w:color w:val="000000"/>
        </w:rPr>
        <w:t>Bl</w:t>
      </w:r>
      <w:r w:rsidR="0072474D">
        <w:rPr>
          <w:color w:val="000000"/>
        </w:rPr>
        <w:t>ue</w:t>
      </w:r>
      <w:r w:rsidR="0072474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72474D">
        <w:rPr>
          <w:color w:val="000000"/>
        </w:rPr>
        <w:t xml:space="preserve">The gray shaded areas further highlight differences in the 95% prediction intervals associated with the ensemble methods. </w:t>
      </w:r>
      <w:r w:rsidR="0072474D" w:rsidRPr="00DC66C1">
        <w:rPr>
          <w:color w:val="000000"/>
        </w:rPr>
        <w:t>The vertical line separates the calibration period (left) from the forecasting period (right).</w:t>
      </w:r>
    </w:p>
    <w:p w14:paraId="62B59FB5" w14:textId="77777777" w:rsidR="009722EB" w:rsidRDefault="009722EB"/>
    <w:p w14:paraId="6B229BE6" w14:textId="29C3B779" w:rsidR="00F43BF4" w:rsidRDefault="00F43BF4"/>
    <w:p w14:paraId="54626C9B" w14:textId="0EE8A391" w:rsidR="00F43BF4" w:rsidRDefault="00F43BF4">
      <w:r>
        <w:rPr>
          <w:noProof/>
        </w:rPr>
        <w:drawing>
          <wp:inline distT="0" distB="0" distL="0" distR="0" wp14:anchorId="5A5EC257" wp14:editId="06E40E6B">
            <wp:extent cx="5943600" cy="3175635"/>
            <wp:effectExtent l="0" t="0" r="0" b="0"/>
            <wp:docPr id="21" name="Picture 2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close up of a map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7B44A" w14:textId="272C40B8" w:rsidR="009722EB" w:rsidRDefault="009722EB"/>
    <w:p w14:paraId="67BB9168" w14:textId="21C63653" w:rsidR="009722EB" w:rsidRDefault="009722EB"/>
    <w:p w14:paraId="37A28556" w14:textId="77777777" w:rsidR="009722EB" w:rsidRDefault="009722EB"/>
    <w:p w14:paraId="2C7C5F35" w14:textId="77777777" w:rsidR="009722EB" w:rsidRDefault="009722EB">
      <w:r>
        <w:br w:type="page"/>
      </w:r>
    </w:p>
    <w:p w14:paraId="4C1EC513" w14:textId="42E91E86" w:rsidR="009722EB" w:rsidRDefault="009722EB">
      <w:r w:rsidRPr="0072474D">
        <w:rPr>
          <w:b/>
          <w:bCs/>
        </w:rPr>
        <w:lastRenderedPageBreak/>
        <w:t xml:space="preserve">Figure </w:t>
      </w:r>
      <w:r w:rsidR="0072474D" w:rsidRPr="0072474D">
        <w:rPr>
          <w:b/>
          <w:bCs/>
        </w:rPr>
        <w:t>S18</w:t>
      </w:r>
      <w:r>
        <w:t xml:space="preserve">. </w:t>
      </w:r>
      <w:r w:rsidR="0072474D">
        <w:t>Representative s</w:t>
      </w:r>
      <w:r w:rsidR="0072474D" w:rsidRPr="00DC66C1">
        <w:t xml:space="preserve">equential 20-day ahead forecasts </w:t>
      </w:r>
      <w:r w:rsidR="0072474D">
        <w:t>obtained from individual models (GLM, RIC, GOM) and two ensemble methods applied to</w:t>
      </w:r>
      <w:r w:rsidR="0072474D">
        <w:rPr>
          <w:b/>
          <w:bCs/>
        </w:rPr>
        <w:t xml:space="preserve"> the COVID-19 epidemic in Hunan. </w:t>
      </w:r>
      <w:r w:rsidR="0072474D" w:rsidRPr="00DC66C1">
        <w:rPr>
          <w:color w:val="000000"/>
        </w:rPr>
        <w:t>Bl</w:t>
      </w:r>
      <w:r w:rsidR="0072474D">
        <w:rPr>
          <w:color w:val="000000"/>
        </w:rPr>
        <w:t>ue</w:t>
      </w:r>
      <w:r w:rsidR="0072474D"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 w:rsidR="0072474D">
        <w:rPr>
          <w:color w:val="000000"/>
        </w:rPr>
        <w:t xml:space="preserve">The gray shaded areas further highlight differences in the 95% prediction intervals associated with the ensemble methods. </w:t>
      </w:r>
      <w:r w:rsidR="0072474D" w:rsidRPr="00DC66C1">
        <w:rPr>
          <w:color w:val="000000"/>
        </w:rPr>
        <w:t>The vertical line separates the calibration period (left) from the forecasting period (right).</w:t>
      </w:r>
    </w:p>
    <w:p w14:paraId="380D19B4" w14:textId="77777777" w:rsidR="009722EB" w:rsidRDefault="009722EB"/>
    <w:p w14:paraId="72DEDD1C" w14:textId="656ACBEA" w:rsidR="009722EB" w:rsidRDefault="009722EB">
      <w:r>
        <w:rPr>
          <w:noProof/>
        </w:rPr>
        <w:drawing>
          <wp:inline distT="0" distB="0" distL="0" distR="0" wp14:anchorId="58B72080" wp14:editId="6C2869AC">
            <wp:extent cx="5943600" cy="3888740"/>
            <wp:effectExtent l="0" t="0" r="0" b="0"/>
            <wp:docPr id="22" name="Picture 2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lose up of a map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8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DC785" w14:textId="5B8F2B9A" w:rsidR="009722EB" w:rsidRDefault="009722EB"/>
    <w:p w14:paraId="1E8890C2" w14:textId="00FBB53E" w:rsidR="007F6BDC" w:rsidRDefault="007F6BDC"/>
    <w:p w14:paraId="7861E284" w14:textId="77777777" w:rsidR="00CF0C7B" w:rsidRDefault="00CF0C7B">
      <w:pPr>
        <w:rPr>
          <w:b/>
          <w:bCs/>
        </w:rPr>
      </w:pPr>
      <w:r>
        <w:rPr>
          <w:b/>
          <w:bCs/>
        </w:rPr>
        <w:br w:type="page"/>
      </w:r>
    </w:p>
    <w:p w14:paraId="589070BC" w14:textId="186CAF2A" w:rsidR="00CF0C7B" w:rsidRDefault="00CF0C7B" w:rsidP="00CF0C7B">
      <w:r w:rsidRPr="0072474D">
        <w:rPr>
          <w:b/>
          <w:bCs/>
        </w:rPr>
        <w:lastRenderedPageBreak/>
        <w:t>Figure S1</w:t>
      </w:r>
      <w:r>
        <w:rPr>
          <w:b/>
          <w:bCs/>
        </w:rPr>
        <w:t>9</w:t>
      </w:r>
      <w:r>
        <w:t>. Representative s</w:t>
      </w:r>
      <w:r w:rsidRPr="00DC66C1">
        <w:t xml:space="preserve">equential 20-day ahead forecasts </w:t>
      </w:r>
      <w:r>
        <w:t>obtained from individual models (GLM, RIC, GOM) and two ensemble methods applied to</w:t>
      </w:r>
      <w:r>
        <w:rPr>
          <w:b/>
          <w:bCs/>
        </w:rPr>
        <w:t xml:space="preserve"> the Zika epidemic in Antioquia, Colombia. </w:t>
      </w:r>
      <w:r w:rsidRPr="00DC66C1">
        <w:rPr>
          <w:color w:val="000000"/>
        </w:rPr>
        <w:t>Bl</w:t>
      </w:r>
      <w:r>
        <w:rPr>
          <w:color w:val="000000"/>
        </w:rPr>
        <w:t>ue</w:t>
      </w:r>
      <w:r w:rsidRPr="00DC66C1">
        <w:rPr>
          <w:color w:val="000000"/>
        </w:rPr>
        <w:t xml:space="preserve"> circles correspond to the data points. The model fit (solid red line) and 95% prediction interval (dashed lines) are also shown. </w:t>
      </w:r>
      <w:r>
        <w:rPr>
          <w:color w:val="000000"/>
        </w:rPr>
        <w:t xml:space="preserve">The gray shaded areas further highlight differences in the 95% prediction intervals associated with the ensemble methods. </w:t>
      </w:r>
      <w:r w:rsidRPr="00DC66C1">
        <w:rPr>
          <w:color w:val="000000"/>
        </w:rPr>
        <w:t>The vertical line separates the calibration period (left) from the forecasting period (right).</w:t>
      </w:r>
    </w:p>
    <w:p w14:paraId="3841CD11" w14:textId="77777777" w:rsidR="00CF0C7B" w:rsidRDefault="00CF0C7B" w:rsidP="00CF0C7B"/>
    <w:p w14:paraId="4F64C6D0" w14:textId="56AF2246" w:rsidR="00CF0C7B" w:rsidRDefault="00CF0C7B" w:rsidP="00CF0C7B"/>
    <w:p w14:paraId="682BF7E5" w14:textId="338E09FF" w:rsidR="00CF0C7B" w:rsidRDefault="008A019A" w:rsidP="00CF0C7B">
      <w:r w:rsidRPr="008A019A">
        <w:rPr>
          <w:noProof/>
        </w:rPr>
        <w:drawing>
          <wp:inline distT="0" distB="0" distL="0" distR="0" wp14:anchorId="1DDAB57F" wp14:editId="5673CD0B">
            <wp:extent cx="5943600" cy="4006215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23DCC" w14:textId="77777777" w:rsidR="008A019A" w:rsidRDefault="008A019A" w:rsidP="00CF0C7B"/>
    <w:p w14:paraId="79D20054" w14:textId="77777777" w:rsidR="00CF0C7B" w:rsidRDefault="00CF0C7B" w:rsidP="00CF0C7B"/>
    <w:p w14:paraId="5364AEBD" w14:textId="77777777" w:rsidR="00CF0C7B" w:rsidRDefault="00CF0C7B"/>
    <w:sectPr w:rsidR="00CF0C7B" w:rsidSect="00C84E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CA7"/>
    <w:rsid w:val="00007202"/>
    <w:rsid w:val="00020571"/>
    <w:rsid w:val="000E423E"/>
    <w:rsid w:val="001A54FE"/>
    <w:rsid w:val="001A7FE7"/>
    <w:rsid w:val="00246BBA"/>
    <w:rsid w:val="0025572B"/>
    <w:rsid w:val="002B6FEB"/>
    <w:rsid w:val="00321EC9"/>
    <w:rsid w:val="003347A6"/>
    <w:rsid w:val="00366CA7"/>
    <w:rsid w:val="00446873"/>
    <w:rsid w:val="00456A18"/>
    <w:rsid w:val="006C0D95"/>
    <w:rsid w:val="0072474D"/>
    <w:rsid w:val="0073035D"/>
    <w:rsid w:val="00775937"/>
    <w:rsid w:val="00781555"/>
    <w:rsid w:val="007D2062"/>
    <w:rsid w:val="007F6BDC"/>
    <w:rsid w:val="00802B69"/>
    <w:rsid w:val="00822106"/>
    <w:rsid w:val="008A019A"/>
    <w:rsid w:val="009037C4"/>
    <w:rsid w:val="009722EB"/>
    <w:rsid w:val="009770D5"/>
    <w:rsid w:val="009D6DFA"/>
    <w:rsid w:val="009E64EB"/>
    <w:rsid w:val="00A15513"/>
    <w:rsid w:val="00A52A75"/>
    <w:rsid w:val="00A548E8"/>
    <w:rsid w:val="00A55D1A"/>
    <w:rsid w:val="00AB4422"/>
    <w:rsid w:val="00B03A79"/>
    <w:rsid w:val="00B04D50"/>
    <w:rsid w:val="00B316AC"/>
    <w:rsid w:val="00B409C3"/>
    <w:rsid w:val="00B4676E"/>
    <w:rsid w:val="00B6555D"/>
    <w:rsid w:val="00B94B04"/>
    <w:rsid w:val="00C21FFE"/>
    <w:rsid w:val="00C4672E"/>
    <w:rsid w:val="00C6068A"/>
    <w:rsid w:val="00C84E45"/>
    <w:rsid w:val="00CF0C7B"/>
    <w:rsid w:val="00D42D6E"/>
    <w:rsid w:val="00D97938"/>
    <w:rsid w:val="00DB7304"/>
    <w:rsid w:val="00DC1B48"/>
    <w:rsid w:val="00E12A0C"/>
    <w:rsid w:val="00EB29E3"/>
    <w:rsid w:val="00EC47EB"/>
    <w:rsid w:val="00F43BF4"/>
    <w:rsid w:val="00F73FAC"/>
    <w:rsid w:val="00F954ED"/>
    <w:rsid w:val="00FF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66D94"/>
  <w15:chartTrackingRefBased/>
  <w15:docId w15:val="{68DCCD33-6C41-B141-9BA1-0E6A25775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70D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0D5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321EC9"/>
    <w:rPr>
      <w:color w:val="0000FF"/>
      <w:u w:val="single"/>
    </w:rPr>
  </w:style>
  <w:style w:type="paragraph" w:customStyle="1" w:styleId="MediumShading1-Accent21">
    <w:name w:val="Medium Shading 1 - Accent 21"/>
    <w:uiPriority w:val="1"/>
    <w:qFormat/>
    <w:rsid w:val="00321EC9"/>
    <w:rPr>
      <w:rFonts w:ascii="Cambria" w:eastAsia="MS Mincho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image" Target="media/image9.tif"/><Relationship Id="rId18" Type="http://schemas.openxmlformats.org/officeDocument/2006/relationships/image" Target="media/image14.tif"/><Relationship Id="rId3" Type="http://schemas.openxmlformats.org/officeDocument/2006/relationships/webSettings" Target="webSettings.xml"/><Relationship Id="rId21" Type="http://schemas.openxmlformats.org/officeDocument/2006/relationships/image" Target="media/image17.tif"/><Relationship Id="rId7" Type="http://schemas.openxmlformats.org/officeDocument/2006/relationships/image" Target="media/image3.tif"/><Relationship Id="rId12" Type="http://schemas.openxmlformats.org/officeDocument/2006/relationships/image" Target="media/image8.tif"/><Relationship Id="rId17" Type="http://schemas.openxmlformats.org/officeDocument/2006/relationships/image" Target="media/image13.ti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tif"/><Relationship Id="rId20" Type="http://schemas.openxmlformats.org/officeDocument/2006/relationships/image" Target="media/image16.tif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image" Target="media/image7.tif"/><Relationship Id="rId24" Type="http://schemas.openxmlformats.org/officeDocument/2006/relationships/fontTable" Target="fontTable.xml"/><Relationship Id="rId5" Type="http://schemas.openxmlformats.org/officeDocument/2006/relationships/image" Target="media/image1.tif"/><Relationship Id="rId15" Type="http://schemas.openxmlformats.org/officeDocument/2006/relationships/image" Target="media/image11.tif"/><Relationship Id="rId23" Type="http://schemas.openxmlformats.org/officeDocument/2006/relationships/image" Target="media/image19.png"/><Relationship Id="rId10" Type="http://schemas.openxmlformats.org/officeDocument/2006/relationships/image" Target="media/image6.tif"/><Relationship Id="rId19" Type="http://schemas.openxmlformats.org/officeDocument/2006/relationships/image" Target="media/image15.tif"/><Relationship Id="rId4" Type="http://schemas.openxmlformats.org/officeDocument/2006/relationships/hyperlink" Target="mailto:gchowell@gsu.edu" TargetMode="External"/><Relationship Id="rId9" Type="http://schemas.openxmlformats.org/officeDocument/2006/relationships/image" Target="media/image5.tif"/><Relationship Id="rId14" Type="http://schemas.openxmlformats.org/officeDocument/2006/relationships/image" Target="media/image10.tif"/><Relationship Id="rId22" Type="http://schemas.openxmlformats.org/officeDocument/2006/relationships/image" Target="media/image18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Chowell-Puente</dc:creator>
  <cp:keywords/>
  <dc:description/>
  <cp:lastModifiedBy>Gerardo Chowell-Puente</cp:lastModifiedBy>
  <cp:revision>3</cp:revision>
  <dcterms:created xsi:type="dcterms:W3CDTF">2020-10-26T14:12:00Z</dcterms:created>
  <dcterms:modified xsi:type="dcterms:W3CDTF">2020-12-11T15:51:00Z</dcterms:modified>
</cp:coreProperties>
</file>