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4D0" w:rsidRDefault="008124D0" w:rsidP="008124D0">
      <w:pPr>
        <w:tabs>
          <w:tab w:val="left" w:pos="4365"/>
        </w:tabs>
        <w:spacing w:after="0" w:line="48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SUPPLEMENTARY </w:t>
      </w:r>
      <w:r w:rsidRPr="00FA5C72">
        <w:rPr>
          <w:rFonts w:ascii="Times New Roman" w:eastAsia="Times New Roman" w:hAnsi="Times New Roman" w:cs="Times New Roman"/>
          <w:b/>
          <w:sz w:val="24"/>
          <w:szCs w:val="24"/>
          <w:highlight w:val="white"/>
        </w:rPr>
        <w:t>REFERENCES</w:t>
      </w:r>
    </w:p>
    <w:p w:rsidR="008124D0" w:rsidRPr="003C79AD" w:rsidRDefault="008124D0" w:rsidP="008124D0">
      <w:pPr>
        <w:widowControl w:val="0"/>
        <w:autoSpaceDE w:val="0"/>
        <w:autoSpaceDN w:val="0"/>
        <w:adjustRightInd w:val="0"/>
        <w:spacing w:line="480" w:lineRule="auto"/>
        <w:ind w:left="640" w:hanging="640"/>
        <w:rPr>
          <w:rFonts w:ascii="Times New Roman" w:hAnsi="Times New Roman" w:cs="Times New Roman"/>
          <w:noProof/>
          <w:sz w:val="24"/>
          <w:szCs w:val="24"/>
        </w:rPr>
      </w:pPr>
      <w:r w:rsidRPr="003C79AD">
        <w:rPr>
          <w:rFonts w:ascii="Times New Roman" w:hAnsi="Times New Roman" w:cs="Times New Roman"/>
          <w:sz w:val="24"/>
          <w:szCs w:val="24"/>
        </w:rPr>
        <w:fldChar w:fldCharType="begin" w:fldLock="1"/>
      </w:r>
      <w:r w:rsidRPr="003C79AD">
        <w:rPr>
          <w:rFonts w:ascii="Times New Roman" w:hAnsi="Times New Roman" w:cs="Times New Roman"/>
          <w:sz w:val="24"/>
          <w:szCs w:val="24"/>
        </w:rPr>
        <w:instrText xml:space="preserve">ADDIN Mendeley Bibliography CSL_BIBLIOGRAPHY </w:instrText>
      </w:r>
      <w:r w:rsidRPr="003C79AD">
        <w:rPr>
          <w:rFonts w:ascii="Times New Roman" w:hAnsi="Times New Roman" w:cs="Times New Roman"/>
          <w:sz w:val="24"/>
          <w:szCs w:val="24"/>
        </w:rPr>
        <w:fldChar w:fldCharType="separate"/>
      </w:r>
      <w:r w:rsidRPr="003C79AD">
        <w:rPr>
          <w:rFonts w:ascii="Times New Roman" w:hAnsi="Times New Roman" w:cs="Times New Roman"/>
          <w:noProof/>
          <w:sz w:val="24"/>
          <w:szCs w:val="24"/>
        </w:rPr>
        <w:t>[1]</w:t>
      </w:r>
      <w:r w:rsidRPr="003C79AD">
        <w:rPr>
          <w:rFonts w:ascii="Times New Roman" w:hAnsi="Times New Roman" w:cs="Times New Roman"/>
          <w:noProof/>
          <w:sz w:val="24"/>
          <w:szCs w:val="24"/>
        </w:rPr>
        <w:tab/>
        <w:t>Ziliotto F, Corso M, Rizzini FM, Rasori A, Botton A, Bonghi C. Grape berry ripening delay induced by a pre-véraison NAA treatment is paralleled by a shift in the expression pattern of auxin- and ethylene-related genes. BMC Plant Biol 2012;12. https://doi.org/10.1186/1471-2229-12-185.</w:t>
      </w:r>
    </w:p>
    <w:p w:rsidR="008124D0" w:rsidRPr="003C79AD" w:rsidRDefault="008124D0" w:rsidP="008124D0">
      <w:pPr>
        <w:widowControl w:val="0"/>
        <w:autoSpaceDE w:val="0"/>
        <w:autoSpaceDN w:val="0"/>
        <w:adjustRightInd w:val="0"/>
        <w:spacing w:line="480" w:lineRule="auto"/>
        <w:ind w:left="640" w:hanging="640"/>
        <w:rPr>
          <w:rFonts w:ascii="Times New Roman" w:hAnsi="Times New Roman" w:cs="Times New Roman"/>
          <w:noProof/>
          <w:sz w:val="24"/>
          <w:szCs w:val="24"/>
        </w:rPr>
      </w:pPr>
      <w:r w:rsidRPr="003C79AD">
        <w:rPr>
          <w:rFonts w:ascii="Times New Roman" w:hAnsi="Times New Roman" w:cs="Times New Roman"/>
          <w:noProof/>
          <w:sz w:val="24"/>
          <w:szCs w:val="24"/>
        </w:rPr>
        <w:t>[2]</w:t>
      </w:r>
      <w:r w:rsidRPr="003C79AD">
        <w:rPr>
          <w:rFonts w:ascii="Times New Roman" w:hAnsi="Times New Roman" w:cs="Times New Roman"/>
          <w:noProof/>
          <w:sz w:val="24"/>
          <w:szCs w:val="24"/>
        </w:rPr>
        <w:tab/>
        <w:t>Eccher G, Botton A, Dimauro M, Boschetti A, Ruperti B, Ramina A. Early induction of apple fruitlet abscission is characterized by an increase of both isoprene emission and abscisic acid content. Plant Physiol 2013;161:1952–69. https://doi.org/10.1104/pp.112.208470.</w:t>
      </w:r>
    </w:p>
    <w:p w:rsidR="00F4526F" w:rsidRDefault="008124D0" w:rsidP="008124D0">
      <w:r w:rsidRPr="003C79AD">
        <w:rPr>
          <w:rFonts w:ascii="Times New Roman" w:hAnsi="Times New Roman" w:cs="Times New Roman"/>
          <w:sz w:val="24"/>
          <w:szCs w:val="24"/>
        </w:rPr>
        <w:fldChar w:fldCharType="end"/>
      </w:r>
      <w:bookmarkStart w:id="0" w:name="_GoBack"/>
      <w:bookmarkEnd w:id="0"/>
    </w:p>
    <w:sectPr w:rsidR="00F452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4D0"/>
    <w:rsid w:val="003A0A23"/>
    <w:rsid w:val="008124D0"/>
    <w:rsid w:val="009C003D"/>
    <w:rsid w:val="00F452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5A981-7D83-434E-85C8-1513D09DB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4D0"/>
    <w:pPr>
      <w:spacing w:after="160" w:line="259" w:lineRule="auto"/>
    </w:pPr>
    <w:rPr>
      <w:rFonts w:ascii="Calibri" w:eastAsia="Calibri" w:hAnsi="Calibri" w:cs="Calibri"/>
      <w:lang w:val="en-GB"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539</Characters>
  <Application>Microsoft Office Word</Application>
  <DocSecurity>0</DocSecurity>
  <Lines>4</Lines>
  <Paragraphs>1</Paragraphs>
  <ScaleCrop>false</ScaleCrop>
  <Company>Springer Nature</Company>
  <LinksUpToDate>false</LinksUpToDate>
  <CharactersWithSpaces>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2021-12-20T02:53:00Z</dcterms:created>
  <dcterms:modified xsi:type="dcterms:W3CDTF">2021-12-20T02:53:00Z</dcterms:modified>
</cp:coreProperties>
</file>