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0FFB6" w14:textId="77777777" w:rsidR="006D19D9" w:rsidRPr="006D19D9" w:rsidRDefault="006D19D9" w:rsidP="002A55E0">
      <w:pPr>
        <w:spacing w:line="360" w:lineRule="auto"/>
        <w:rPr>
          <w:rFonts w:ascii="Times New Roman" w:hAnsi="Times New Roman" w:cs="Times New Roman"/>
          <w:lang w:val="en-GB"/>
        </w:rPr>
      </w:pPr>
      <w:r w:rsidRPr="006D19D9">
        <w:rPr>
          <w:rFonts w:ascii="Times New Roman" w:hAnsi="Times New Roman" w:cs="Times New Roman"/>
          <w:lang w:val="en-GB"/>
        </w:rPr>
        <w:t xml:space="preserve">Linking omega-3 polyunsaturated fatty acids in natural diet with brain size of wild consumers </w:t>
      </w:r>
    </w:p>
    <w:p w14:paraId="7146BD98" w14:textId="77777777" w:rsidR="00561C4A" w:rsidRPr="00C467C0" w:rsidRDefault="00561C4A" w:rsidP="00561C4A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78C6E147" w14:textId="77777777" w:rsidR="00561C4A" w:rsidRPr="00C467C0" w:rsidRDefault="00561C4A" w:rsidP="00561C4A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C467C0">
        <w:rPr>
          <w:rFonts w:ascii="Times New Roman" w:hAnsi="Times New Roman" w:cs="Times New Roman"/>
          <w:lang w:val="en-US"/>
        </w:rPr>
        <w:t xml:space="preserve">Libor Závorka1*, Magnus </w:t>
      </w:r>
      <w:proofErr w:type="spellStart"/>
      <w:r w:rsidRPr="00C467C0">
        <w:rPr>
          <w:rFonts w:ascii="Times New Roman" w:hAnsi="Times New Roman" w:cs="Times New Roman"/>
          <w:lang w:val="en-US"/>
        </w:rPr>
        <w:t>Lovén</w:t>
      </w:r>
      <w:proofErr w:type="spellEnd"/>
      <w:r w:rsidRPr="00C467C0">
        <w:rPr>
          <w:rFonts w:ascii="Times New Roman" w:hAnsi="Times New Roman" w:cs="Times New Roman"/>
          <w:lang w:val="en-US"/>
        </w:rPr>
        <w:t xml:space="preserve"> Wallerius2, Martin J. Kainz1†, Johan Höjesjö2†</w:t>
      </w:r>
    </w:p>
    <w:p w14:paraId="0E78C93B" w14:textId="77777777" w:rsidR="00561C4A" w:rsidRDefault="00561C4A" w:rsidP="001B629D">
      <w:pPr>
        <w:rPr>
          <w:rFonts w:ascii="Times New Roman" w:hAnsi="Times New Roman" w:cs="Times New Roman"/>
          <w:b/>
          <w:bCs/>
          <w:lang w:val="en-US"/>
        </w:rPr>
      </w:pPr>
    </w:p>
    <w:p w14:paraId="34A122D9" w14:textId="733D3720" w:rsidR="001B629D" w:rsidRPr="00710630" w:rsidRDefault="001B629D" w:rsidP="001B629D">
      <w:pPr>
        <w:rPr>
          <w:rFonts w:ascii="Times New Roman" w:hAnsi="Times New Roman" w:cs="Times New Roman"/>
          <w:b/>
          <w:bCs/>
          <w:lang w:val="en-US"/>
        </w:rPr>
      </w:pPr>
      <w:r w:rsidRPr="00710630">
        <w:rPr>
          <w:rFonts w:ascii="Times New Roman" w:hAnsi="Times New Roman" w:cs="Times New Roman"/>
          <w:b/>
          <w:bCs/>
          <w:lang w:val="en-US"/>
        </w:rPr>
        <w:t xml:space="preserve">Supplementary information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710630">
        <w:rPr>
          <w:rFonts w:ascii="Times New Roman" w:hAnsi="Times New Roman" w:cs="Times New Roman"/>
          <w:b/>
          <w:bCs/>
          <w:lang w:val="en-US"/>
        </w:rPr>
        <w:t xml:space="preserve"> – </w:t>
      </w:r>
      <w:r>
        <w:rPr>
          <w:rFonts w:ascii="Times New Roman" w:hAnsi="Times New Roman" w:cs="Times New Roman"/>
          <w:b/>
          <w:bCs/>
          <w:lang w:val="en-US"/>
        </w:rPr>
        <w:t>PCA of brain regions volume</w:t>
      </w:r>
    </w:p>
    <w:p w14:paraId="6C49EA44" w14:textId="6AAD35D3" w:rsidR="00102AE1" w:rsidRPr="001B69A9" w:rsidRDefault="00102AE1" w:rsidP="00102AE1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14:paraId="11F6DB10" w14:textId="777478B6" w:rsidR="00102AE1" w:rsidRPr="00ED6CE8" w:rsidRDefault="00102AE1" w:rsidP="00102AE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1B69A9">
        <w:rPr>
          <w:rFonts w:ascii="Times New Roman" w:hAnsi="Times New Roman" w:cs="Times New Roman"/>
          <w:lang w:val="en-GB"/>
        </w:rPr>
        <w:t xml:space="preserve">A principal component analysis (PCA) was used to identify independent axes of variation in </w:t>
      </w:r>
      <w:r w:rsidRPr="00ED6CE8">
        <w:rPr>
          <w:rFonts w:ascii="Times New Roman" w:hAnsi="Times New Roman" w:cs="Times New Roman"/>
          <w:lang w:val="en-US"/>
        </w:rPr>
        <w:t>the volume of individual brain regions</w:t>
      </w:r>
      <w:r w:rsidRPr="001B69A9">
        <w:rPr>
          <w:rFonts w:ascii="Times New Roman" w:hAnsi="Times New Roman" w:cs="Times New Roman"/>
          <w:lang w:val="en-GB"/>
        </w:rPr>
        <w:t xml:space="preserve"> (Lê et al. 2008). </w:t>
      </w:r>
      <w:r w:rsidRPr="00ED6CE8">
        <w:rPr>
          <w:rFonts w:ascii="Times New Roman" w:hAnsi="Times New Roman" w:cs="Times New Roman"/>
          <w:lang w:val="en-US"/>
        </w:rPr>
        <w:t xml:space="preserve">To control for the allometric effect in the </w:t>
      </w:r>
      <w:r w:rsidR="001B69A9">
        <w:rPr>
          <w:rFonts w:ascii="Times New Roman" w:hAnsi="Times New Roman" w:cs="Times New Roman"/>
          <w:lang w:val="en-US"/>
        </w:rPr>
        <w:t>brain morphology (</w:t>
      </w:r>
      <w:r w:rsidR="001B69A9" w:rsidRPr="001B69A9">
        <w:rPr>
          <w:rFonts w:ascii="Times New Roman" w:hAnsi="Times New Roman" w:cs="Times New Roman"/>
          <w:i/>
          <w:iCs/>
          <w:lang w:val="en-US"/>
        </w:rPr>
        <w:t>i.e.</w:t>
      </w:r>
      <w:r w:rsidR="001B69A9">
        <w:rPr>
          <w:rFonts w:ascii="Times New Roman" w:hAnsi="Times New Roman" w:cs="Times New Roman"/>
          <w:lang w:val="en-US"/>
        </w:rPr>
        <w:t xml:space="preserve">, the size of </w:t>
      </w:r>
      <w:r w:rsidRPr="00ED6CE8">
        <w:rPr>
          <w:rFonts w:ascii="Times New Roman" w:hAnsi="Times New Roman" w:cs="Times New Roman"/>
          <w:lang w:val="en-US"/>
        </w:rPr>
        <w:t>brain regions</w:t>
      </w:r>
      <w:r w:rsidR="001B69A9">
        <w:rPr>
          <w:rFonts w:ascii="Times New Roman" w:hAnsi="Times New Roman" w:cs="Times New Roman"/>
          <w:lang w:val="en-US"/>
        </w:rPr>
        <w:t>)</w:t>
      </w:r>
      <w:r w:rsidR="00DF5152">
        <w:rPr>
          <w:rFonts w:ascii="Times New Roman" w:hAnsi="Times New Roman" w:cs="Times New Roman"/>
          <w:lang w:val="en-US"/>
        </w:rPr>
        <w:t>,</w:t>
      </w:r>
      <w:r w:rsidRPr="00ED6CE8">
        <w:rPr>
          <w:rFonts w:ascii="Times New Roman" w:hAnsi="Times New Roman" w:cs="Times New Roman"/>
          <w:lang w:val="en-US"/>
        </w:rPr>
        <w:t xml:space="preserve"> we used residuals of a linear regression between log</w:t>
      </w:r>
      <w:r w:rsidR="00DF5152">
        <w:rPr>
          <w:rFonts w:ascii="Times New Roman" w:hAnsi="Times New Roman" w:cs="Times New Roman"/>
          <w:lang w:val="en-US"/>
        </w:rPr>
        <w:t>-</w:t>
      </w:r>
      <w:r w:rsidRPr="00ED6CE8">
        <w:rPr>
          <w:rFonts w:ascii="Times New Roman" w:hAnsi="Times New Roman" w:cs="Times New Roman"/>
          <w:lang w:val="en-US"/>
        </w:rPr>
        <w:t>transformed volume of the</w:t>
      </w:r>
      <w:r w:rsidR="00DF5152">
        <w:rPr>
          <w:rFonts w:ascii="Times New Roman" w:hAnsi="Times New Roman" w:cs="Times New Roman"/>
          <w:lang w:val="en-US"/>
        </w:rPr>
        <w:t xml:space="preserve"> brain</w:t>
      </w:r>
      <w:r w:rsidRPr="00ED6CE8">
        <w:rPr>
          <w:rFonts w:ascii="Times New Roman" w:hAnsi="Times New Roman" w:cs="Times New Roman"/>
          <w:lang w:val="en-US"/>
        </w:rPr>
        <w:t xml:space="preserve"> region and the volume of the whole brain minus the volume of the brain region of interest (Pike et al. 2018). </w:t>
      </w:r>
      <w:r w:rsidRPr="001B69A9">
        <w:rPr>
          <w:rFonts w:ascii="Times New Roman" w:hAnsi="Times New Roman" w:cs="Times New Roman"/>
          <w:lang w:val="en-GB"/>
        </w:rPr>
        <w:t>The PCA was based on the multivariate correlation matrix (</w:t>
      </w:r>
      <w:r w:rsidRPr="00ED6CE8">
        <w:rPr>
          <w:rFonts w:ascii="Times New Roman" w:hAnsi="Times New Roman" w:cs="Times New Roman"/>
          <w:lang w:val="en-US"/>
        </w:rPr>
        <w:t xml:space="preserve">Fig. </w:t>
      </w:r>
      <w:r w:rsidRPr="001B69A9">
        <w:rPr>
          <w:rFonts w:ascii="Times New Roman" w:hAnsi="Times New Roman" w:cs="Times New Roman"/>
          <w:lang w:val="en-GB"/>
        </w:rPr>
        <w:t>S</w:t>
      </w:r>
      <w:r w:rsidRPr="00ED6CE8">
        <w:rPr>
          <w:rFonts w:ascii="Times New Roman" w:hAnsi="Times New Roman" w:cs="Times New Roman"/>
          <w:lang w:val="en-US"/>
        </w:rPr>
        <w:t>2.</w:t>
      </w:r>
      <w:r w:rsidRPr="001B69A9">
        <w:rPr>
          <w:rFonts w:ascii="Times New Roman" w:hAnsi="Times New Roman" w:cs="Times New Roman"/>
          <w:lang w:val="en-GB"/>
        </w:rPr>
        <w:t xml:space="preserve">1), with all variables being scaled and centred. Bartlett's test of sphericity and the KMO-test of the correlation matrix met the minimum criteria, following </w:t>
      </w:r>
      <w:proofErr w:type="spellStart"/>
      <w:r w:rsidRPr="001B69A9">
        <w:rPr>
          <w:rFonts w:ascii="Times New Roman" w:hAnsi="Times New Roman" w:cs="Times New Roman"/>
          <w:lang w:val="en-GB"/>
        </w:rPr>
        <w:t>Budaev</w:t>
      </w:r>
      <w:proofErr w:type="spellEnd"/>
      <w:r w:rsidRPr="001B69A9">
        <w:rPr>
          <w:rFonts w:ascii="Times New Roman" w:hAnsi="Times New Roman" w:cs="Times New Roman"/>
          <w:lang w:val="en-GB"/>
        </w:rPr>
        <w:t xml:space="preserve"> (2010) (Bartlett’s sphericity test </w:t>
      </w:r>
      <w:r w:rsidRPr="00ED6CE8">
        <w:rPr>
          <w:rFonts w:ascii="Times New Roman" w:hAnsi="Times New Roman" w:cs="Times New Roman"/>
        </w:rPr>
        <w:t>χ</w:t>
      </w:r>
      <w:r w:rsidRPr="001B69A9">
        <w:rPr>
          <w:rFonts w:ascii="Times New Roman" w:hAnsi="Times New Roman" w:cs="Times New Roman"/>
          <w:lang w:val="en-GB"/>
        </w:rPr>
        <w:t xml:space="preserve">2 = </w:t>
      </w:r>
      <w:r w:rsidRPr="00ED6CE8">
        <w:rPr>
          <w:rFonts w:ascii="Times New Roman" w:hAnsi="Times New Roman" w:cs="Times New Roman"/>
          <w:lang w:val="en-US"/>
        </w:rPr>
        <w:t>34</w:t>
      </w:r>
      <w:r w:rsidRPr="001B69A9">
        <w:rPr>
          <w:rFonts w:ascii="Times New Roman" w:hAnsi="Times New Roman" w:cs="Times New Roman"/>
          <w:lang w:val="en-GB"/>
        </w:rPr>
        <w:t>.</w:t>
      </w:r>
      <w:r w:rsidRPr="00ED6CE8">
        <w:rPr>
          <w:rFonts w:ascii="Times New Roman" w:hAnsi="Times New Roman" w:cs="Times New Roman"/>
          <w:lang w:val="en-US"/>
        </w:rPr>
        <w:t>13</w:t>
      </w:r>
      <w:r w:rsidRPr="001B69A9">
        <w:rPr>
          <w:rFonts w:ascii="Times New Roman" w:hAnsi="Times New Roman" w:cs="Times New Roman"/>
          <w:lang w:val="en-GB"/>
        </w:rPr>
        <w:t>; p &lt; 0.0001; KMO = 0.</w:t>
      </w:r>
      <w:r w:rsidRPr="00ED6CE8">
        <w:rPr>
          <w:rFonts w:ascii="Times New Roman" w:hAnsi="Times New Roman" w:cs="Times New Roman"/>
          <w:lang w:val="en-US"/>
        </w:rPr>
        <w:t>49</w:t>
      </w:r>
      <w:r w:rsidRPr="001B69A9">
        <w:rPr>
          <w:rFonts w:ascii="Times New Roman" w:hAnsi="Times New Roman" w:cs="Times New Roman"/>
          <w:lang w:val="en-GB"/>
        </w:rPr>
        <w:t xml:space="preserve">). The analysis yielded </w:t>
      </w:r>
      <w:r w:rsidRPr="00ED6CE8">
        <w:rPr>
          <w:rFonts w:ascii="Times New Roman" w:hAnsi="Times New Roman" w:cs="Times New Roman"/>
          <w:lang w:val="en-US"/>
        </w:rPr>
        <w:t xml:space="preserve">two </w:t>
      </w:r>
      <w:r w:rsidRPr="001B69A9">
        <w:rPr>
          <w:rFonts w:ascii="Times New Roman" w:hAnsi="Times New Roman" w:cs="Times New Roman"/>
          <w:lang w:val="en-GB"/>
        </w:rPr>
        <w:t>component</w:t>
      </w:r>
      <w:r w:rsidRPr="00ED6CE8">
        <w:rPr>
          <w:rFonts w:ascii="Times New Roman" w:hAnsi="Times New Roman" w:cs="Times New Roman"/>
          <w:lang w:val="en-US"/>
        </w:rPr>
        <w:t>s</w:t>
      </w:r>
      <w:r w:rsidRPr="001B69A9">
        <w:rPr>
          <w:rFonts w:ascii="Times New Roman" w:hAnsi="Times New Roman" w:cs="Times New Roman"/>
          <w:lang w:val="en-GB"/>
        </w:rPr>
        <w:t xml:space="preserve"> with an eigenvalue above the Kaiser-Guttman threshold of 1.0, summarizing </w:t>
      </w:r>
      <w:r w:rsidRPr="00ED6CE8">
        <w:rPr>
          <w:rFonts w:ascii="Times New Roman" w:hAnsi="Times New Roman" w:cs="Times New Roman"/>
          <w:lang w:val="en-US"/>
        </w:rPr>
        <w:t xml:space="preserve">in total </w:t>
      </w:r>
      <w:r w:rsidRPr="001B69A9">
        <w:rPr>
          <w:rFonts w:ascii="Times New Roman" w:hAnsi="Times New Roman" w:cs="Times New Roman"/>
          <w:lang w:val="en-GB"/>
        </w:rPr>
        <w:t>5</w:t>
      </w:r>
      <w:r w:rsidR="00ED6CE8" w:rsidRPr="00ED6CE8">
        <w:rPr>
          <w:rFonts w:ascii="Times New Roman" w:hAnsi="Times New Roman" w:cs="Times New Roman"/>
          <w:lang w:val="en-US"/>
        </w:rPr>
        <w:t>6</w:t>
      </w:r>
      <w:r w:rsidRPr="001B69A9">
        <w:rPr>
          <w:rFonts w:ascii="Times New Roman" w:hAnsi="Times New Roman" w:cs="Times New Roman"/>
          <w:lang w:val="en-GB"/>
        </w:rPr>
        <w:t xml:space="preserve"> % of the variation </w:t>
      </w:r>
      <w:r w:rsidR="00ED6CE8" w:rsidRPr="00ED6CE8">
        <w:rPr>
          <w:rFonts w:ascii="Times New Roman" w:hAnsi="Times New Roman" w:cs="Times New Roman"/>
          <w:lang w:val="en-US"/>
        </w:rPr>
        <w:t xml:space="preserve">in brain morphology. Loading of the </w:t>
      </w:r>
      <w:r w:rsidR="001B629D">
        <w:rPr>
          <w:rFonts w:ascii="Times New Roman" w:hAnsi="Times New Roman" w:cs="Times New Roman"/>
          <w:lang w:val="en-US"/>
        </w:rPr>
        <w:t>brain region volumes</w:t>
      </w:r>
      <w:r w:rsidR="00ED6CE8" w:rsidRPr="00ED6CE8">
        <w:rPr>
          <w:rFonts w:ascii="Times New Roman" w:hAnsi="Times New Roman" w:cs="Times New Roman"/>
          <w:lang w:val="en-US"/>
        </w:rPr>
        <w:t xml:space="preserve"> to PCs (Table S2.1) suggest that PC1 was positively related to the volume of olfactory bulb, and hypothalamus and negatively to cerebellum and optic tectum</w:t>
      </w:r>
      <w:r w:rsidR="00ED6CE8">
        <w:rPr>
          <w:rFonts w:ascii="Times New Roman" w:hAnsi="Times New Roman" w:cs="Times New Roman"/>
          <w:lang w:val="en-US"/>
        </w:rPr>
        <w:t xml:space="preserve"> (Fig. S2.2)</w:t>
      </w:r>
      <w:r w:rsidR="00ED6CE8" w:rsidRPr="00ED6CE8">
        <w:rPr>
          <w:rFonts w:ascii="Times New Roman" w:hAnsi="Times New Roman" w:cs="Times New Roman"/>
          <w:lang w:val="en-US"/>
        </w:rPr>
        <w:t>. PC2 was positively related to the volume of telencephalon</w:t>
      </w:r>
      <w:r w:rsidR="00ED6CE8">
        <w:rPr>
          <w:rFonts w:ascii="Times New Roman" w:hAnsi="Times New Roman" w:cs="Times New Roman"/>
          <w:lang w:val="en-US"/>
        </w:rPr>
        <w:t xml:space="preserve"> (Fig. S2.2)</w:t>
      </w:r>
      <w:r w:rsidR="00ED6CE8" w:rsidRPr="00ED6CE8">
        <w:rPr>
          <w:rFonts w:ascii="Times New Roman" w:hAnsi="Times New Roman" w:cs="Times New Roman"/>
          <w:lang w:val="en-US"/>
        </w:rPr>
        <w:t>.</w:t>
      </w:r>
    </w:p>
    <w:p w14:paraId="47692D7C" w14:textId="0CBC208E" w:rsidR="00ED6CE8" w:rsidRPr="00ED6CE8" w:rsidRDefault="00ED6CE8" w:rsidP="00ED6CE8">
      <w:pPr>
        <w:rPr>
          <w:rFonts w:ascii="Times New Roman" w:hAnsi="Times New Roman" w:cs="Times New Roman"/>
          <w:i/>
          <w:iCs/>
        </w:rPr>
      </w:pPr>
    </w:p>
    <w:p w14:paraId="28399A2A" w14:textId="0FB13407" w:rsidR="00ED6CE8" w:rsidRPr="00ED6CE8" w:rsidRDefault="00ED6CE8" w:rsidP="00ED6CE8">
      <w:pPr>
        <w:rPr>
          <w:rFonts w:ascii="Times New Roman" w:hAnsi="Times New Roman" w:cs="Times New Roman"/>
          <w:i/>
          <w:iCs/>
          <w:lang w:val="en-US"/>
        </w:rPr>
      </w:pPr>
      <w:r w:rsidRPr="00ED6CE8">
        <w:rPr>
          <w:rFonts w:ascii="Times New Roman" w:hAnsi="Times New Roman" w:cs="Times New Roman"/>
          <w:i/>
          <w:iCs/>
          <w:lang w:val="en-US"/>
        </w:rPr>
        <w:t>Table S2.1. Loadings of two dominant PCs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D6CE8" w:rsidRPr="00ED6CE8" w14:paraId="5D810A54" w14:textId="77777777" w:rsidTr="00ED6CE8">
        <w:tc>
          <w:tcPr>
            <w:tcW w:w="3005" w:type="dxa"/>
            <w:tcBorders>
              <w:top w:val="single" w:sz="4" w:space="0" w:color="auto"/>
              <w:bottom w:val="double" w:sz="4" w:space="0" w:color="auto"/>
            </w:tcBorders>
          </w:tcPr>
          <w:p w14:paraId="3EFE917C" w14:textId="74E0B8DD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ED6CE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Brain region</w:t>
            </w:r>
          </w:p>
        </w:tc>
        <w:tc>
          <w:tcPr>
            <w:tcW w:w="3005" w:type="dxa"/>
            <w:tcBorders>
              <w:top w:val="single" w:sz="4" w:space="0" w:color="auto"/>
              <w:bottom w:val="double" w:sz="4" w:space="0" w:color="auto"/>
            </w:tcBorders>
          </w:tcPr>
          <w:p w14:paraId="4720093B" w14:textId="168B6CDB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ED6CE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PC 1 Loadings</w:t>
            </w:r>
          </w:p>
        </w:tc>
        <w:tc>
          <w:tcPr>
            <w:tcW w:w="3006" w:type="dxa"/>
            <w:tcBorders>
              <w:top w:val="single" w:sz="4" w:space="0" w:color="auto"/>
              <w:bottom w:val="double" w:sz="4" w:space="0" w:color="auto"/>
            </w:tcBorders>
          </w:tcPr>
          <w:p w14:paraId="330EE557" w14:textId="2A331617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D6CE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PC 2 Loadings</w:t>
            </w:r>
          </w:p>
        </w:tc>
      </w:tr>
      <w:tr w:rsidR="00ED6CE8" w:rsidRPr="00ED6CE8" w14:paraId="5E5E4AF4" w14:textId="77777777" w:rsidTr="00ED6CE8">
        <w:tc>
          <w:tcPr>
            <w:tcW w:w="3005" w:type="dxa"/>
            <w:tcBorders>
              <w:top w:val="double" w:sz="4" w:space="0" w:color="auto"/>
            </w:tcBorders>
          </w:tcPr>
          <w:p w14:paraId="3A761C8C" w14:textId="3B8088BD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Olfactory bulb</w:t>
            </w:r>
          </w:p>
        </w:tc>
        <w:tc>
          <w:tcPr>
            <w:tcW w:w="3005" w:type="dxa"/>
            <w:tcBorders>
              <w:top w:val="double" w:sz="4" w:space="0" w:color="auto"/>
            </w:tcBorders>
          </w:tcPr>
          <w:p w14:paraId="6031ED24" w14:textId="682BFA31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6CE8">
              <w:rPr>
                <w:rFonts w:ascii="Times New Roman" w:hAnsi="Times New Roman" w:cs="Times New Roman"/>
                <w:b/>
                <w:bCs/>
                <w:lang w:val="en-US"/>
              </w:rPr>
              <w:t>0.47</w:t>
            </w:r>
          </w:p>
        </w:tc>
        <w:tc>
          <w:tcPr>
            <w:tcW w:w="3006" w:type="dxa"/>
            <w:tcBorders>
              <w:top w:val="double" w:sz="4" w:space="0" w:color="auto"/>
            </w:tcBorders>
          </w:tcPr>
          <w:p w14:paraId="76636673" w14:textId="62B6D26A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0.49</w:t>
            </w:r>
          </w:p>
        </w:tc>
      </w:tr>
      <w:tr w:rsidR="00ED6CE8" w:rsidRPr="00ED6CE8" w14:paraId="361DA16A" w14:textId="77777777" w:rsidTr="00ED6CE8">
        <w:tc>
          <w:tcPr>
            <w:tcW w:w="3005" w:type="dxa"/>
          </w:tcPr>
          <w:p w14:paraId="626E522C" w14:textId="13EC7333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Telencephalon</w:t>
            </w:r>
          </w:p>
        </w:tc>
        <w:tc>
          <w:tcPr>
            <w:tcW w:w="3005" w:type="dxa"/>
          </w:tcPr>
          <w:p w14:paraId="3D535287" w14:textId="4A1EAD1A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3006" w:type="dxa"/>
          </w:tcPr>
          <w:p w14:paraId="4091D824" w14:textId="53563E1A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6CE8">
              <w:rPr>
                <w:rFonts w:ascii="Times New Roman" w:hAnsi="Times New Roman" w:cs="Times New Roman"/>
                <w:b/>
                <w:bCs/>
                <w:lang w:val="en-US"/>
              </w:rPr>
              <w:t>0.77</w:t>
            </w:r>
          </w:p>
        </w:tc>
      </w:tr>
      <w:tr w:rsidR="00ED6CE8" w:rsidRPr="00ED6CE8" w14:paraId="2FBDBEA7" w14:textId="77777777" w:rsidTr="00ED6CE8">
        <w:tc>
          <w:tcPr>
            <w:tcW w:w="3005" w:type="dxa"/>
          </w:tcPr>
          <w:p w14:paraId="29C62C29" w14:textId="3A90684F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Optic Tectum</w:t>
            </w:r>
          </w:p>
        </w:tc>
        <w:tc>
          <w:tcPr>
            <w:tcW w:w="3005" w:type="dxa"/>
          </w:tcPr>
          <w:p w14:paraId="3298F3C4" w14:textId="101B538C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6CE8">
              <w:rPr>
                <w:rFonts w:ascii="Times New Roman" w:hAnsi="Times New Roman" w:cs="Times New Roman"/>
                <w:b/>
                <w:bCs/>
                <w:lang w:val="en-US"/>
              </w:rPr>
              <w:t>-0.53</w:t>
            </w:r>
          </w:p>
        </w:tc>
        <w:tc>
          <w:tcPr>
            <w:tcW w:w="3006" w:type="dxa"/>
          </w:tcPr>
          <w:p w14:paraId="30CC7BFF" w14:textId="6B2A538E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</w:t>
            </w:r>
          </w:p>
        </w:tc>
      </w:tr>
      <w:tr w:rsidR="00ED6CE8" w:rsidRPr="00ED6CE8" w14:paraId="459E763E" w14:textId="77777777" w:rsidTr="00ED6CE8">
        <w:tc>
          <w:tcPr>
            <w:tcW w:w="3005" w:type="dxa"/>
          </w:tcPr>
          <w:p w14:paraId="1D47DE6B" w14:textId="5C2A644B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Cerebellum</w:t>
            </w:r>
          </w:p>
        </w:tc>
        <w:tc>
          <w:tcPr>
            <w:tcW w:w="3005" w:type="dxa"/>
          </w:tcPr>
          <w:p w14:paraId="692C68DD" w14:textId="0833B72D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6CE8">
              <w:rPr>
                <w:rFonts w:ascii="Times New Roman" w:hAnsi="Times New Roman" w:cs="Times New Roman"/>
                <w:b/>
                <w:bCs/>
                <w:lang w:val="en-US"/>
              </w:rPr>
              <w:t>-0.50</w:t>
            </w:r>
          </w:p>
        </w:tc>
        <w:tc>
          <w:tcPr>
            <w:tcW w:w="3006" w:type="dxa"/>
          </w:tcPr>
          <w:p w14:paraId="67BFD6C0" w14:textId="24D520FC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</w:t>
            </w:r>
          </w:p>
        </w:tc>
      </w:tr>
      <w:tr w:rsidR="00ED6CE8" w:rsidRPr="00ED6CE8" w14:paraId="52EBA461" w14:textId="77777777" w:rsidTr="00ED6CE8">
        <w:tc>
          <w:tcPr>
            <w:tcW w:w="3005" w:type="dxa"/>
            <w:tcBorders>
              <w:bottom w:val="single" w:sz="4" w:space="0" w:color="auto"/>
            </w:tcBorders>
          </w:tcPr>
          <w:p w14:paraId="6059ABC8" w14:textId="0CA3F697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Hypothalamus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6B2004D3" w14:textId="71F9902E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6CE8">
              <w:rPr>
                <w:rFonts w:ascii="Times New Roman" w:hAnsi="Times New Roman" w:cs="Times New Roman"/>
                <w:b/>
                <w:bCs/>
                <w:lang w:val="en-US"/>
              </w:rPr>
              <w:t>0.47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46660571" w14:textId="17A414BC" w:rsidR="00ED6CE8" w:rsidRPr="00ED6CE8" w:rsidRDefault="00ED6CE8" w:rsidP="00ED6CE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-0.17</w:t>
            </w:r>
          </w:p>
        </w:tc>
      </w:tr>
    </w:tbl>
    <w:p w14:paraId="6C7B2E7A" w14:textId="7A0A8D27" w:rsidR="00ED6CE8" w:rsidRPr="00ED6CE8" w:rsidRDefault="00ED6CE8" w:rsidP="00ED6CE8">
      <w:pPr>
        <w:rPr>
          <w:rFonts w:ascii="Times New Roman" w:hAnsi="Times New Roman" w:cs="Times New Roman"/>
        </w:rPr>
      </w:pPr>
    </w:p>
    <w:p w14:paraId="391D7E30" w14:textId="658CF96E" w:rsidR="00102AE1" w:rsidRPr="00ED6CE8" w:rsidRDefault="00102AE1">
      <w:pPr>
        <w:rPr>
          <w:rFonts w:ascii="Times New Roman" w:hAnsi="Times New Roman" w:cs="Times New Roman"/>
        </w:rPr>
      </w:pPr>
      <w:r w:rsidRPr="00ED6CE8">
        <w:rPr>
          <w:rFonts w:ascii="Times New Roman" w:hAnsi="Times New Roman" w:cs="Times New Roman"/>
          <w:noProof/>
          <w:lang w:eastAsia="sv-SE"/>
        </w:rPr>
        <w:lastRenderedPageBreak/>
        <w:drawing>
          <wp:inline distT="0" distB="0" distL="0" distR="0" wp14:anchorId="28F33CFF" wp14:editId="2361A8FA">
            <wp:extent cx="5731510" cy="5608320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0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C276A" w14:textId="6AD55700" w:rsidR="00102AE1" w:rsidRPr="00A07CFE" w:rsidRDefault="002142E4">
      <w:pPr>
        <w:rPr>
          <w:rFonts w:ascii="Times New Roman" w:hAnsi="Times New Roman" w:cs="Times New Roman"/>
          <w:i/>
          <w:iCs/>
          <w:lang w:val="en-US"/>
        </w:rPr>
      </w:pPr>
      <w:r w:rsidRPr="002142E4">
        <w:rPr>
          <w:rFonts w:ascii="Times New Roman" w:hAnsi="Times New Roman" w:cs="Times New Roman"/>
          <w:b/>
          <w:bCs/>
          <w:lang w:val="en-US"/>
        </w:rPr>
        <w:t>Figure S2.1</w:t>
      </w:r>
      <w:r>
        <w:rPr>
          <w:rFonts w:ascii="Times New Roman" w:hAnsi="Times New Roman" w:cs="Times New Roman"/>
          <w:b/>
          <w:bCs/>
          <w:lang w:val="en-US"/>
        </w:rPr>
        <w:t xml:space="preserve"> – </w:t>
      </w:r>
      <w:r w:rsidRPr="00A07CFE">
        <w:rPr>
          <w:rFonts w:ascii="Times New Roman" w:hAnsi="Times New Roman" w:cs="Times New Roman"/>
          <w:i/>
          <w:iCs/>
          <w:lang w:val="en-US"/>
        </w:rPr>
        <w:t xml:space="preserve">Correlation matrix of </w:t>
      </w:r>
      <w:r w:rsidR="001B629D">
        <w:rPr>
          <w:rFonts w:ascii="Times New Roman" w:hAnsi="Times New Roman" w:cs="Times New Roman"/>
          <w:i/>
          <w:iCs/>
          <w:lang w:val="en-US"/>
        </w:rPr>
        <w:t>volumes of the brain regions</w:t>
      </w:r>
      <w:r w:rsidRPr="00A07CFE">
        <w:rPr>
          <w:rFonts w:ascii="Times New Roman" w:hAnsi="Times New Roman" w:cs="Times New Roman"/>
          <w:i/>
          <w:iCs/>
          <w:lang w:val="en-US"/>
        </w:rPr>
        <w:t xml:space="preserve">. Values indicate the spearman correlation. </w:t>
      </w:r>
    </w:p>
    <w:p w14:paraId="69B3A321" w14:textId="2B86163C" w:rsidR="00102AE1" w:rsidRPr="00ED6CE8" w:rsidRDefault="00102AE1">
      <w:pPr>
        <w:rPr>
          <w:rFonts w:ascii="Times New Roman" w:hAnsi="Times New Roman" w:cs="Times New Roman"/>
        </w:rPr>
      </w:pPr>
    </w:p>
    <w:p w14:paraId="520FCF31" w14:textId="014FA5E8" w:rsidR="00102AE1" w:rsidRPr="00ED6CE8" w:rsidRDefault="00102AE1">
      <w:pPr>
        <w:rPr>
          <w:rFonts w:ascii="Times New Roman" w:hAnsi="Times New Roman" w:cs="Times New Roman"/>
        </w:rPr>
      </w:pPr>
    </w:p>
    <w:p w14:paraId="679C55DF" w14:textId="73974CBD" w:rsidR="00102AE1" w:rsidRPr="00ED6CE8" w:rsidRDefault="00102AE1">
      <w:pPr>
        <w:rPr>
          <w:rFonts w:ascii="Times New Roman" w:hAnsi="Times New Roman" w:cs="Times New Roman"/>
        </w:rPr>
      </w:pPr>
    </w:p>
    <w:p w14:paraId="0E67D637" w14:textId="4091B0A8" w:rsidR="00102AE1" w:rsidRPr="00ED6CE8" w:rsidRDefault="00102AE1">
      <w:pPr>
        <w:rPr>
          <w:rFonts w:ascii="Times New Roman" w:hAnsi="Times New Roman" w:cs="Times New Roman"/>
        </w:rPr>
      </w:pPr>
    </w:p>
    <w:p w14:paraId="3032EB1C" w14:textId="67F75C1B" w:rsidR="00102AE1" w:rsidRPr="00ED6CE8" w:rsidRDefault="00102AE1">
      <w:pPr>
        <w:rPr>
          <w:rFonts w:ascii="Times New Roman" w:hAnsi="Times New Roman" w:cs="Times New Roman"/>
        </w:rPr>
      </w:pPr>
    </w:p>
    <w:p w14:paraId="384D1421" w14:textId="000A1620" w:rsidR="00102AE1" w:rsidRPr="00ED6CE8" w:rsidRDefault="00102AE1">
      <w:pPr>
        <w:rPr>
          <w:rFonts w:ascii="Times New Roman" w:hAnsi="Times New Roman" w:cs="Times New Roman"/>
        </w:rPr>
      </w:pPr>
    </w:p>
    <w:p w14:paraId="1DFF7ED4" w14:textId="6DB13D24" w:rsidR="00102AE1" w:rsidRPr="00ED6CE8" w:rsidRDefault="00102AE1">
      <w:pPr>
        <w:rPr>
          <w:rFonts w:ascii="Times New Roman" w:hAnsi="Times New Roman" w:cs="Times New Roman"/>
        </w:rPr>
      </w:pPr>
    </w:p>
    <w:p w14:paraId="43838969" w14:textId="283B5A63" w:rsidR="00102AE1" w:rsidRPr="00ED6CE8" w:rsidRDefault="00102AE1">
      <w:pPr>
        <w:rPr>
          <w:rFonts w:ascii="Times New Roman" w:hAnsi="Times New Roman" w:cs="Times New Roman"/>
        </w:rPr>
      </w:pPr>
    </w:p>
    <w:p w14:paraId="08074842" w14:textId="1A6BB99C" w:rsidR="00102AE1" w:rsidRPr="00ED6CE8" w:rsidRDefault="00102AE1">
      <w:pPr>
        <w:rPr>
          <w:rFonts w:ascii="Times New Roman" w:hAnsi="Times New Roman" w:cs="Times New Roman"/>
        </w:rPr>
      </w:pPr>
    </w:p>
    <w:p w14:paraId="31BC60E7" w14:textId="22DE3F7B" w:rsidR="00102AE1" w:rsidRPr="00ED6CE8" w:rsidRDefault="00102AE1">
      <w:pPr>
        <w:rPr>
          <w:rFonts w:ascii="Times New Roman" w:hAnsi="Times New Roman" w:cs="Times New Roman"/>
        </w:rPr>
      </w:pPr>
    </w:p>
    <w:p w14:paraId="4336290D" w14:textId="0FD1A99F" w:rsidR="00102AE1" w:rsidRPr="00ED6CE8" w:rsidRDefault="00102AE1">
      <w:pPr>
        <w:rPr>
          <w:rFonts w:ascii="Times New Roman" w:hAnsi="Times New Roman" w:cs="Times New Roman"/>
        </w:rPr>
      </w:pPr>
    </w:p>
    <w:p w14:paraId="796500B1" w14:textId="32D86E87" w:rsidR="00102AE1" w:rsidRPr="00ED6CE8" w:rsidRDefault="00102AE1">
      <w:pPr>
        <w:rPr>
          <w:rFonts w:ascii="Times New Roman" w:hAnsi="Times New Roman" w:cs="Times New Roman"/>
        </w:rPr>
      </w:pPr>
    </w:p>
    <w:p w14:paraId="3414FDFF" w14:textId="2460E805" w:rsidR="00102AE1" w:rsidRPr="00ED6CE8" w:rsidRDefault="00102AE1">
      <w:pPr>
        <w:rPr>
          <w:rFonts w:ascii="Times New Roman" w:hAnsi="Times New Roman" w:cs="Times New Roman"/>
        </w:rPr>
      </w:pPr>
    </w:p>
    <w:p w14:paraId="34B1CD20" w14:textId="24171F24" w:rsidR="00102AE1" w:rsidRPr="00ED6CE8" w:rsidRDefault="00102AE1">
      <w:pPr>
        <w:rPr>
          <w:rFonts w:ascii="Times New Roman" w:hAnsi="Times New Roman" w:cs="Times New Roman"/>
        </w:rPr>
      </w:pPr>
    </w:p>
    <w:p w14:paraId="26126BBE" w14:textId="77777777" w:rsidR="00102AE1" w:rsidRPr="00ED6CE8" w:rsidRDefault="00102AE1">
      <w:pPr>
        <w:rPr>
          <w:rFonts w:ascii="Times New Roman" w:hAnsi="Times New Roman" w:cs="Times New Roman"/>
        </w:rPr>
      </w:pPr>
    </w:p>
    <w:p w14:paraId="7CF20E41" w14:textId="0ACED17A" w:rsidR="00102AE1" w:rsidRDefault="00102AE1">
      <w:pPr>
        <w:rPr>
          <w:rFonts w:ascii="Times New Roman" w:hAnsi="Times New Roman" w:cs="Times New Roman"/>
        </w:rPr>
      </w:pPr>
      <w:r w:rsidRPr="00ED6CE8">
        <w:rPr>
          <w:rFonts w:ascii="Times New Roman" w:hAnsi="Times New Roman" w:cs="Times New Roman"/>
          <w:noProof/>
          <w:lang w:eastAsia="sv-SE"/>
        </w:rPr>
        <w:lastRenderedPageBreak/>
        <w:drawing>
          <wp:inline distT="0" distB="0" distL="0" distR="0" wp14:anchorId="120DF431" wp14:editId="4A457457">
            <wp:extent cx="5731510" cy="44716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0D43" w14:textId="15779104" w:rsidR="00A07CFE" w:rsidRPr="008609BC" w:rsidRDefault="00A07CFE" w:rsidP="00AB5C5D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lang w:val="cs-CZ"/>
        </w:rPr>
      </w:pPr>
      <w:r w:rsidRPr="008609BC">
        <w:rPr>
          <w:rFonts w:ascii="Times New Roman" w:hAnsi="Times New Roman" w:cs="Times New Roman"/>
          <w:b/>
          <w:bCs/>
          <w:i/>
          <w:iCs/>
          <w:lang w:val="en-US"/>
        </w:rPr>
        <w:t>Figure S2.2 –</w:t>
      </w:r>
      <w:r w:rsidR="00025D0A" w:rsidRPr="008609BC">
        <w:rPr>
          <w:rFonts w:ascii="Times New Roman" w:hAnsi="Times New Roman" w:cs="Times New Roman"/>
          <w:i/>
          <w:iCs/>
          <w:lang w:val="en-US"/>
        </w:rPr>
        <w:t xml:space="preserve"> Two dominant </w:t>
      </w:r>
      <w:r w:rsidR="00AB5C5D" w:rsidRPr="008609BC">
        <w:rPr>
          <w:rFonts w:ascii="Times New Roman" w:hAnsi="Times New Roman" w:cs="Times New Roman"/>
          <w:i/>
          <w:iCs/>
          <w:lang w:val="en-US"/>
        </w:rPr>
        <w:t xml:space="preserve">principal component of PCA.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Ellipses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in PCA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indicate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95 % CI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around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the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mean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around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AF –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allopatric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females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(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black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), AM –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allpaptric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males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(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red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), SF –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sympatric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females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(green), and SM –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sympatric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AB5C5D" w:rsidRPr="008609BC">
        <w:rPr>
          <w:rFonts w:ascii="Times New Roman" w:hAnsi="Times New Roman" w:cs="Times New Roman"/>
          <w:i/>
          <w:iCs/>
          <w:lang w:val="cs-CZ"/>
        </w:rPr>
        <w:t>females</w:t>
      </w:r>
      <w:proofErr w:type="spellEnd"/>
      <w:r w:rsidR="00AB5C5D" w:rsidRPr="008609BC">
        <w:rPr>
          <w:rFonts w:ascii="Times New Roman" w:hAnsi="Times New Roman" w:cs="Times New Roman"/>
          <w:i/>
          <w:iCs/>
          <w:lang w:val="cs-CZ"/>
        </w:rPr>
        <w:t xml:space="preserve"> (blue).</w:t>
      </w:r>
      <w:r w:rsid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8609BC">
        <w:rPr>
          <w:rFonts w:ascii="Times New Roman" w:hAnsi="Times New Roman" w:cs="Times New Roman"/>
          <w:i/>
          <w:iCs/>
          <w:lang w:val="cs-CZ"/>
        </w:rPr>
        <w:t>Mean</w:t>
      </w:r>
      <w:proofErr w:type="spellEnd"/>
      <w:r w:rsid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8609BC">
        <w:rPr>
          <w:rFonts w:ascii="Times New Roman" w:hAnsi="Times New Roman" w:cs="Times New Roman"/>
          <w:i/>
          <w:iCs/>
          <w:lang w:val="cs-CZ"/>
        </w:rPr>
        <w:t>of</w:t>
      </w:r>
      <w:proofErr w:type="spellEnd"/>
      <w:r w:rsidR="008609BC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="008609BC">
        <w:rPr>
          <w:rFonts w:ascii="Times New Roman" w:hAnsi="Times New Roman" w:cs="Times New Roman"/>
          <w:i/>
          <w:iCs/>
          <w:lang w:val="cs-CZ"/>
        </w:rPr>
        <w:t>groups</w:t>
      </w:r>
      <w:proofErr w:type="spellEnd"/>
      <w:r w:rsidR="008609BC">
        <w:rPr>
          <w:rFonts w:ascii="Times New Roman" w:hAnsi="Times New Roman" w:cs="Times New Roman"/>
          <w:i/>
          <w:iCs/>
          <w:lang w:val="cs-CZ"/>
        </w:rPr>
        <w:t xml:space="preserve"> are </w:t>
      </w:r>
      <w:proofErr w:type="spellStart"/>
      <w:r w:rsidR="008609BC">
        <w:rPr>
          <w:rFonts w:ascii="Times New Roman" w:hAnsi="Times New Roman" w:cs="Times New Roman"/>
          <w:i/>
          <w:iCs/>
          <w:lang w:val="cs-CZ"/>
        </w:rPr>
        <w:t>indicated</w:t>
      </w:r>
      <w:proofErr w:type="spellEnd"/>
      <w:r w:rsidR="008609BC">
        <w:rPr>
          <w:rFonts w:ascii="Times New Roman" w:hAnsi="Times New Roman" w:cs="Times New Roman"/>
          <w:i/>
          <w:iCs/>
          <w:lang w:val="cs-CZ"/>
        </w:rPr>
        <w:t xml:space="preserve"> by </w:t>
      </w:r>
      <w:proofErr w:type="spellStart"/>
      <w:r w:rsidR="008609BC">
        <w:rPr>
          <w:rFonts w:ascii="Times New Roman" w:hAnsi="Times New Roman" w:cs="Times New Roman"/>
          <w:i/>
          <w:iCs/>
          <w:lang w:val="cs-CZ"/>
        </w:rPr>
        <w:t>purple</w:t>
      </w:r>
      <w:proofErr w:type="spellEnd"/>
      <w:r w:rsidR="008609BC">
        <w:rPr>
          <w:rFonts w:ascii="Times New Roman" w:hAnsi="Times New Roman" w:cs="Times New Roman"/>
          <w:i/>
          <w:iCs/>
          <w:lang w:val="cs-CZ"/>
        </w:rPr>
        <w:t xml:space="preserve"> square. </w:t>
      </w:r>
    </w:p>
    <w:p w14:paraId="3B46FA7B" w14:textId="2702FD3A" w:rsidR="00A07CFE" w:rsidRPr="001B69A9" w:rsidRDefault="00A07CFE" w:rsidP="001B629D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38B96B71" w14:textId="3C5BB1EE" w:rsidR="001B629D" w:rsidRPr="001B69A9" w:rsidRDefault="001B629D" w:rsidP="001B629D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24C5D62C" w14:textId="21FE8CE7" w:rsidR="001B629D" w:rsidRDefault="001B629D" w:rsidP="001B629D">
      <w:pPr>
        <w:spacing w:line="480" w:lineRule="auto"/>
        <w:rPr>
          <w:rFonts w:ascii="Times New Roman" w:hAnsi="Times New Roman" w:cs="Times New Roman"/>
          <w:b/>
          <w:bCs/>
          <w:i/>
          <w:iCs/>
          <w:lang w:val="en-US"/>
        </w:rPr>
      </w:pPr>
      <w:r w:rsidRPr="001B629D">
        <w:rPr>
          <w:rFonts w:ascii="Times New Roman" w:hAnsi="Times New Roman" w:cs="Times New Roman"/>
          <w:b/>
          <w:bCs/>
          <w:i/>
          <w:iCs/>
          <w:lang w:val="en-US"/>
        </w:rPr>
        <w:t>References</w:t>
      </w:r>
    </w:p>
    <w:p w14:paraId="2E458763" w14:textId="4DCD4325" w:rsidR="00916217" w:rsidRDefault="001B629D" w:rsidP="00916217">
      <w:pPr>
        <w:spacing w:line="480" w:lineRule="auto"/>
        <w:ind w:left="851" w:hanging="851"/>
        <w:rPr>
          <w:rFonts w:ascii="Times New Roman" w:hAnsi="Times New Roman" w:cs="Times New Roman"/>
          <w:lang w:val="en-US"/>
        </w:rPr>
      </w:pPr>
      <w:proofErr w:type="spellStart"/>
      <w:r w:rsidRPr="001B629D">
        <w:rPr>
          <w:rFonts w:ascii="Times New Roman" w:hAnsi="Times New Roman" w:cs="Times New Roman"/>
          <w:lang w:val="en-US"/>
        </w:rPr>
        <w:t>Budaev</w:t>
      </w:r>
      <w:proofErr w:type="spellEnd"/>
      <w:r w:rsidRPr="001B629D">
        <w:rPr>
          <w:rFonts w:ascii="Times New Roman" w:hAnsi="Times New Roman" w:cs="Times New Roman"/>
          <w:lang w:val="en-US"/>
        </w:rPr>
        <w:t>, S. 2010. Using principal components and factor analysis in animal behaviour research: Caveats and guidelines. Ethology 116: 472-480.</w:t>
      </w:r>
      <w:r w:rsidR="001B69A9">
        <w:rPr>
          <w:rFonts w:ascii="Times New Roman" w:hAnsi="Times New Roman" w:cs="Times New Roman"/>
          <w:lang w:val="en-US"/>
        </w:rPr>
        <w:t xml:space="preserve"> </w:t>
      </w:r>
      <w:hyperlink r:id="rId7" w:history="1">
        <w:r w:rsidR="00916217" w:rsidRPr="001C0738">
          <w:rPr>
            <w:rStyle w:val="Hypertextovodkaz"/>
            <w:rFonts w:ascii="Times New Roman" w:hAnsi="Times New Roman" w:cs="Times New Roman"/>
            <w:lang w:val="en-US"/>
          </w:rPr>
          <w:t>https://doi.org/10.1111/j.1439-0310.2010.01758.x</w:t>
        </w:r>
      </w:hyperlink>
    </w:p>
    <w:p w14:paraId="3D703437" w14:textId="5F612E99" w:rsidR="001B629D" w:rsidRPr="00916217" w:rsidRDefault="001B629D" w:rsidP="00916217">
      <w:pPr>
        <w:spacing w:line="480" w:lineRule="auto"/>
        <w:ind w:left="851" w:hanging="851"/>
        <w:rPr>
          <w:rFonts w:ascii="Times New Roman" w:hAnsi="Times New Roman" w:cs="Times New Roman"/>
          <w:lang w:val="en-US"/>
        </w:rPr>
      </w:pPr>
      <w:r w:rsidRPr="001B629D">
        <w:rPr>
          <w:rFonts w:ascii="Times New Roman" w:hAnsi="Times New Roman" w:cs="Times New Roman"/>
          <w:lang w:val="en-US"/>
        </w:rPr>
        <w:t xml:space="preserve">Lê, S., </w:t>
      </w:r>
      <w:proofErr w:type="spellStart"/>
      <w:r w:rsidRPr="001B629D">
        <w:rPr>
          <w:rFonts w:ascii="Times New Roman" w:hAnsi="Times New Roman" w:cs="Times New Roman"/>
          <w:lang w:val="en-US"/>
        </w:rPr>
        <w:t>Josse</w:t>
      </w:r>
      <w:proofErr w:type="spellEnd"/>
      <w:r w:rsidRPr="001B629D">
        <w:rPr>
          <w:rFonts w:ascii="Times New Roman" w:hAnsi="Times New Roman" w:cs="Times New Roman"/>
          <w:lang w:val="en-US"/>
        </w:rPr>
        <w:t xml:space="preserve">, J. and </w:t>
      </w:r>
      <w:proofErr w:type="spellStart"/>
      <w:r w:rsidRPr="001B629D">
        <w:rPr>
          <w:rFonts w:ascii="Times New Roman" w:hAnsi="Times New Roman" w:cs="Times New Roman"/>
          <w:lang w:val="en-US"/>
        </w:rPr>
        <w:t>Husson</w:t>
      </w:r>
      <w:proofErr w:type="spellEnd"/>
      <w:r w:rsidRPr="001B629D">
        <w:rPr>
          <w:rFonts w:ascii="Times New Roman" w:hAnsi="Times New Roman" w:cs="Times New Roman"/>
          <w:lang w:val="en-US"/>
        </w:rPr>
        <w:t xml:space="preserve">, F. 2008. </w:t>
      </w:r>
      <w:proofErr w:type="spellStart"/>
      <w:r w:rsidRPr="001B629D">
        <w:rPr>
          <w:rFonts w:ascii="Times New Roman" w:hAnsi="Times New Roman" w:cs="Times New Roman"/>
          <w:lang w:val="en-US"/>
        </w:rPr>
        <w:t>FactoMineR</w:t>
      </w:r>
      <w:proofErr w:type="spellEnd"/>
      <w:r w:rsidRPr="001B629D">
        <w:rPr>
          <w:rFonts w:ascii="Times New Roman" w:hAnsi="Times New Roman" w:cs="Times New Roman"/>
          <w:lang w:val="en-US"/>
        </w:rPr>
        <w:t>: an R package for multivariate analysis. Journal of Statistical Software 25: 1–18.</w:t>
      </w:r>
      <w:r w:rsidR="00916217">
        <w:rPr>
          <w:rFonts w:ascii="Times New Roman" w:hAnsi="Times New Roman" w:cs="Times New Roman"/>
          <w:lang w:val="en-US"/>
        </w:rPr>
        <w:t xml:space="preserve"> </w:t>
      </w:r>
      <w:hyperlink r:id="rId8" w:history="1">
        <w:r w:rsidR="00916217" w:rsidRPr="001C0738">
          <w:rPr>
            <w:rStyle w:val="Hypertextovodkaz"/>
            <w:rFonts w:ascii="Times New Roman" w:hAnsi="Times New Roman" w:cs="Times New Roman"/>
            <w:lang w:val="en-US"/>
          </w:rPr>
          <w:t>https://doi.org/</w:t>
        </w:r>
        <w:r w:rsidR="00916217" w:rsidRPr="001C0738">
          <w:rPr>
            <w:rStyle w:val="Hypertextovodkaz"/>
            <w:rFonts w:ascii="Times New Roman" w:eastAsia="Times New Roman" w:hAnsi="Times New Roman" w:cs="Times New Roman"/>
            <w:lang w:val="cs-SE" w:eastAsia="cs-CZ"/>
          </w:rPr>
          <w:t>10.18637/jss.v025.i01</w:t>
        </w:r>
      </w:hyperlink>
    </w:p>
    <w:p w14:paraId="53E82B55" w14:textId="04A8BB3B" w:rsidR="001B629D" w:rsidRPr="001B629D" w:rsidRDefault="001B629D" w:rsidP="001B629D">
      <w:pPr>
        <w:spacing w:line="480" w:lineRule="auto"/>
        <w:ind w:left="851" w:hanging="851"/>
        <w:rPr>
          <w:rFonts w:ascii="Times New Roman" w:hAnsi="Times New Roman" w:cs="Times New Roman"/>
          <w:lang w:val="en-US"/>
        </w:rPr>
      </w:pPr>
      <w:r w:rsidRPr="00490ABD">
        <w:rPr>
          <w:rFonts w:ascii="Times New Roman" w:hAnsi="Times New Roman" w:cs="Times New Roman"/>
          <w:lang w:val="en-US"/>
        </w:rPr>
        <w:t xml:space="preserve">Pike, T.W., Ramsey, M., and Wilkinson, A. 2018. Environmentally induced changes to brain morphology predict cognitive performance. </w:t>
      </w:r>
      <w:r w:rsidRPr="00490ABD">
        <w:rPr>
          <w:rFonts w:ascii="Times New Roman" w:hAnsi="Times New Roman" w:cs="Times New Roman"/>
          <w:i/>
          <w:iCs/>
          <w:lang w:val="en-US"/>
        </w:rPr>
        <w:t xml:space="preserve">Philos. Trans. R. Soc. </w:t>
      </w:r>
      <w:proofErr w:type="spellStart"/>
      <w:r w:rsidRPr="00490ABD">
        <w:rPr>
          <w:rFonts w:ascii="Times New Roman" w:hAnsi="Times New Roman" w:cs="Times New Roman"/>
          <w:i/>
          <w:iCs/>
          <w:lang w:val="en-US"/>
        </w:rPr>
        <w:t>Lond</w:t>
      </w:r>
      <w:proofErr w:type="spellEnd"/>
      <w:r w:rsidRPr="00490ABD">
        <w:rPr>
          <w:rFonts w:ascii="Times New Roman" w:hAnsi="Times New Roman" w:cs="Times New Roman"/>
          <w:i/>
          <w:iCs/>
          <w:lang w:val="en-US"/>
        </w:rPr>
        <w:t>., B, Biol. Sci.</w:t>
      </w:r>
      <w:r w:rsidRPr="00490ABD">
        <w:rPr>
          <w:rFonts w:ascii="Times New Roman" w:hAnsi="Times New Roman" w:cs="Times New Roman"/>
          <w:lang w:val="en-US"/>
        </w:rPr>
        <w:t xml:space="preserve">, 373(1756), 20170287. </w:t>
      </w:r>
      <w:r w:rsidR="001B69A9" w:rsidRPr="001B69A9">
        <w:rPr>
          <w:rFonts w:ascii="Times New Roman" w:hAnsi="Times New Roman" w:cs="Times New Roman"/>
          <w:lang w:val="en-US"/>
        </w:rPr>
        <w:t>https://doi.org/</w:t>
      </w:r>
      <w:r w:rsidRPr="00490ABD">
        <w:rPr>
          <w:rFonts w:ascii="Times New Roman" w:hAnsi="Times New Roman" w:cs="Times New Roman"/>
          <w:lang w:val="en-US"/>
        </w:rPr>
        <w:t>10.1098/rstb.2017.0287</w:t>
      </w:r>
    </w:p>
    <w:sectPr w:rsidR="001B629D" w:rsidRPr="001B6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E1"/>
    <w:rsid w:val="00025D0A"/>
    <w:rsid w:val="00102AE1"/>
    <w:rsid w:val="00112EB0"/>
    <w:rsid w:val="001B629D"/>
    <w:rsid w:val="001B69A9"/>
    <w:rsid w:val="001B7AF0"/>
    <w:rsid w:val="002142E4"/>
    <w:rsid w:val="0023206E"/>
    <w:rsid w:val="002A55E0"/>
    <w:rsid w:val="004360D7"/>
    <w:rsid w:val="00561C4A"/>
    <w:rsid w:val="006D19D9"/>
    <w:rsid w:val="008609BC"/>
    <w:rsid w:val="00916217"/>
    <w:rsid w:val="00A07CFE"/>
    <w:rsid w:val="00AB5C5D"/>
    <w:rsid w:val="00DF5152"/>
    <w:rsid w:val="00ED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285C"/>
  <w15:chartTrackingRefBased/>
  <w15:docId w15:val="{B4C8FC5A-1808-104C-9F8E-87AF5A01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C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D6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320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20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20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20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20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0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06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621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6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637/jss.v025.i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11/j.1439-0310.2010.01758.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2DC3B-B946-44DD-ACE2-D1882680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401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Závorka</dc:creator>
  <cp:keywords/>
  <dc:description/>
  <cp:lastModifiedBy>Libor Závorka</cp:lastModifiedBy>
  <cp:revision>9</cp:revision>
  <dcterms:created xsi:type="dcterms:W3CDTF">2021-08-02T07:52:00Z</dcterms:created>
  <dcterms:modified xsi:type="dcterms:W3CDTF">2021-12-07T21:25:00Z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edbc72a5-b233-358c-a70e-08633de36c85</vt:lpwstr>
  </property>
  <property fmtid="{D5CDD505-2E9C-101B-9397-08002B2CF9AE}" pid="24" name="Mendeley Citation Style_1">
    <vt:lpwstr>http://www.zotero.org/styles/apa</vt:lpwstr>
  </property>
</Properties>
</file>