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b/>
          <w:bCs/>
          <w:sz w:val="32"/>
          <w:szCs w:val="40"/>
          <w:lang w:val="en-US" w:eastAsia="zh-CN"/>
        </w:rPr>
      </w:pPr>
      <w:r>
        <w:rPr>
          <w:rFonts w:hint="default"/>
          <w:b/>
          <w:bCs/>
          <w:sz w:val="32"/>
          <w:szCs w:val="40"/>
          <w:lang w:val="en-US" w:eastAsia="zh-CN"/>
        </w:rPr>
        <w:t>Supplementary materials</w:t>
      </w:r>
    </w:p>
    <w:p>
      <w:pPr>
        <w:bidi w:val="0"/>
        <w:rPr>
          <w:rFonts w:hint="eastAsia"/>
          <w:b/>
          <w:bCs/>
          <w:sz w:val="32"/>
          <w:szCs w:val="40"/>
          <w:lang w:val="en-US" w:eastAsia="zh-CN"/>
        </w:rPr>
      </w:pPr>
      <w:r>
        <w:rPr>
          <w:rFonts w:hint="eastAsia"/>
          <w:b/>
          <w:bCs/>
          <w:sz w:val="32"/>
          <w:szCs w:val="40"/>
          <w:lang w:val="en-US" w:eastAsia="zh-CN"/>
        </w:rPr>
        <w:t>Appendix 1: primary scale</w:t>
      </w:r>
    </w:p>
    <w:p>
      <w:pPr>
        <w:bidi w:val="0"/>
        <w:rPr>
          <w:rFonts w:hint="eastAsia"/>
          <w:b/>
          <w:bCs/>
          <w:sz w:val="32"/>
          <w:szCs w:val="40"/>
          <w:lang w:val="en-US" w:eastAsia="zh-CN"/>
        </w:rPr>
      </w:pPr>
      <w:r>
        <w:rPr>
          <w:rFonts w:hint="eastAsia"/>
          <w:b/>
          <w:bCs/>
          <w:sz w:val="32"/>
          <w:szCs w:val="40"/>
          <w:lang w:val="en-US" w:eastAsia="zh-CN"/>
        </w:rPr>
        <w:t>The Knowledge, Attitude, and Practice Scale for Medication Safety in Patients with Chronic Kidney Disease</w:t>
      </w:r>
    </w:p>
    <w:p>
      <w:pPr>
        <w:rPr>
          <w:rFonts w:hint="eastAsia" w:ascii="Arial" w:hAnsi="Arial" w:eastAsia="宋体" w:cs="Times New Roman"/>
          <w:color w:val="000000"/>
          <w:kern w:val="0"/>
          <w:sz w:val="20"/>
          <w:szCs w:val="22"/>
          <w:lang w:val="en-US" w:eastAsia="zh-CN"/>
        </w:rPr>
      </w:pPr>
      <w:r>
        <w:rPr>
          <w:rFonts w:hint="eastAsia" w:ascii="Arial" w:hAnsi="Arial" w:eastAsia="宋体" w:cs="Times New Roman"/>
          <w:color w:val="000000"/>
          <w:kern w:val="0"/>
          <w:sz w:val="20"/>
          <w:szCs w:val="22"/>
          <w:lang w:val="en-US" w:eastAsia="zh-CN"/>
        </w:rPr>
        <w:t>Name: _________ Age: ___________Date: ___________</w:t>
      </w:r>
    </w:p>
    <w:p>
      <w:pPr>
        <w:rPr>
          <w:rFonts w:hint="eastAsia" w:ascii="Arial" w:hAnsi="Arial" w:eastAsia="宋体" w:cs="Times New Roman"/>
          <w:color w:val="000000"/>
          <w:kern w:val="0"/>
          <w:sz w:val="20"/>
          <w:szCs w:val="22"/>
          <w:lang w:val="en-US" w:eastAsia="zh-CN"/>
        </w:rPr>
      </w:pPr>
    </w:p>
    <w:tbl>
      <w:tblPr>
        <w:tblStyle w:val="3"/>
        <w:tblW w:w="5807" w:type="pct"/>
        <w:tblInd w:w="-587" w:type="dxa"/>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Layout w:type="fixed"/>
        <w:tblCellMar>
          <w:top w:w="0" w:type="dxa"/>
          <w:left w:w="0" w:type="dxa"/>
          <w:bottom w:w="0" w:type="dxa"/>
          <w:right w:w="0" w:type="dxa"/>
        </w:tblCellMar>
      </w:tblPr>
      <w:tblGrid>
        <w:gridCol w:w="438"/>
        <w:gridCol w:w="5134"/>
        <w:gridCol w:w="887"/>
        <w:gridCol w:w="760"/>
        <w:gridCol w:w="1000"/>
        <w:gridCol w:w="750"/>
        <w:gridCol w:w="701"/>
      </w:tblGrid>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940" w:hRule="atLeast"/>
        </w:trPr>
        <w:tc>
          <w:tcPr>
            <w:tcW w:w="5000" w:type="pct"/>
            <w:gridSpan w:val="7"/>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The following questions are used to reflect your knowledge and behavior of self-medication, and attitude towards education activities of medication safety</w:t>
            </w:r>
            <w:r>
              <w:rPr>
                <w:rFonts w:ascii="Arial" w:hAnsi="Arial" w:eastAsia="宋体" w:cs="Times New Roman"/>
                <w:color w:val="000000"/>
                <w:kern w:val="0"/>
                <w:sz w:val="20"/>
                <w:lang w:val="en-GB"/>
              </w:rPr>
              <w:t xml:space="preserve">. </w:t>
            </w:r>
            <w:r>
              <w:rPr>
                <w:rFonts w:ascii="Arial" w:hAnsi="Arial" w:eastAsia="宋体" w:cs="Times New Roman"/>
                <w:color w:val="000000"/>
                <w:kern w:val="0"/>
                <w:sz w:val="20"/>
              </w:rPr>
              <w:t>Please draw "√" at the options according to your actual situation.</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280" w:hRule="atLeast"/>
        </w:trPr>
        <w:tc>
          <w:tcPr>
            <w:tcW w:w="226"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Item</w:t>
            </w:r>
          </w:p>
        </w:tc>
        <w:tc>
          <w:tcPr>
            <w:tcW w:w="2654"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content</w:t>
            </w:r>
          </w:p>
        </w:tc>
        <w:tc>
          <w:tcPr>
            <w:tcW w:w="2118" w:type="pct"/>
            <w:gridSpan w:val="5"/>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options</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881" w:type="pct"/>
            <w:gridSpan w:val="2"/>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Knowledge about medication safety in CKD</w:t>
            </w:r>
          </w:p>
        </w:tc>
        <w:tc>
          <w:tcPr>
            <w:tcW w:w="458"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highlight w:val="none"/>
              </w:rPr>
            </w:pPr>
            <w:r>
              <w:rPr>
                <w:rFonts w:ascii="Arial" w:hAnsi="Arial" w:eastAsia="宋体" w:cs="Times New Roman"/>
                <w:color w:val="000000"/>
                <w:kern w:val="0"/>
                <w:sz w:val="20"/>
                <w:highlight w:val="none"/>
              </w:rPr>
              <w:t>totally ignorant</w:t>
            </w:r>
          </w:p>
        </w:tc>
        <w:tc>
          <w:tcPr>
            <w:tcW w:w="392"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highlight w:val="none"/>
              </w:rPr>
            </w:pPr>
            <w:r>
              <w:rPr>
                <w:rFonts w:ascii="Arial" w:hAnsi="Arial" w:eastAsia="宋体" w:cs="Times New Roman"/>
                <w:color w:val="000000"/>
                <w:kern w:val="0"/>
                <w:sz w:val="20"/>
                <w:highlight w:val="none"/>
              </w:rPr>
              <w:t>ignorant</w:t>
            </w:r>
          </w:p>
        </w:tc>
        <w:tc>
          <w:tcPr>
            <w:tcW w:w="517"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highlight w:val="none"/>
              </w:rPr>
            </w:pPr>
            <w:r>
              <w:rPr>
                <w:rFonts w:ascii="Arial" w:hAnsi="Arial" w:eastAsia="宋体" w:cs="Times New Roman"/>
                <w:color w:val="000000"/>
                <w:kern w:val="0"/>
                <w:sz w:val="20"/>
                <w:highlight w:val="none"/>
              </w:rPr>
              <w:t>general</w:t>
            </w:r>
          </w:p>
        </w:tc>
        <w:tc>
          <w:tcPr>
            <w:tcW w:w="387"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highlight w:val="none"/>
              </w:rPr>
            </w:pPr>
            <w:r>
              <w:rPr>
                <w:rFonts w:ascii="Arial" w:hAnsi="Arial" w:eastAsia="宋体" w:cs="Times New Roman"/>
                <w:color w:val="000000"/>
                <w:kern w:val="0"/>
                <w:sz w:val="20"/>
                <w:highlight w:val="none"/>
              </w:rPr>
              <w:t>partially aware</w:t>
            </w:r>
          </w:p>
        </w:tc>
        <w:tc>
          <w:tcPr>
            <w:tcW w:w="362"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highlight w:val="none"/>
              </w:rPr>
            </w:pPr>
            <w:r>
              <w:rPr>
                <w:rFonts w:ascii="Arial" w:hAnsi="Arial" w:eastAsia="宋体" w:cs="Times New Roman"/>
                <w:color w:val="000000"/>
                <w:kern w:val="0"/>
                <w:sz w:val="20"/>
                <w:highlight w:val="none"/>
              </w:rPr>
              <w:t>fully aware</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620" w:hRule="atLeast"/>
        </w:trPr>
        <w:tc>
          <w:tcPr>
            <w:tcW w:w="226"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1</w:t>
            </w:r>
          </w:p>
        </w:tc>
        <w:tc>
          <w:tcPr>
            <w:tcW w:w="2654"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name, indications, and usage of the drugs used?</w:t>
            </w:r>
          </w:p>
        </w:tc>
        <w:tc>
          <w:tcPr>
            <w:tcW w:w="458"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2</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adverse reactions, contraindications, and precautions of the medication used?</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28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3</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interaction between the drugs used?</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28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4</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dangers of polypharmacy?</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5</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physiological characteristics and medication particularity of people in different age groups?</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28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6</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way and time of the drugs being used?</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7</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how to judge the occurrence of adverse drug reactions and deal with them correctly?</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28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8</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storage method of the medicines used?</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9</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side effects of health care products, proprietary Chinese medicines, and Chinese herbal medicines?</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10</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types of drugs used with caution and forbidden in CKD patients?</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11</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usage and dosage adjustment of drugs used in CKD patients?</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12</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other drugs and examination methods that may damage renal function?</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280" w:hRule="atLeast"/>
        </w:trPr>
        <w:tc>
          <w:tcPr>
            <w:tcW w:w="226"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13</w:t>
            </w:r>
          </w:p>
        </w:tc>
        <w:tc>
          <w:tcPr>
            <w:tcW w:w="2654"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how to reduce your kidney damage?</w:t>
            </w:r>
          </w:p>
        </w:tc>
        <w:tc>
          <w:tcPr>
            <w:tcW w:w="458"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280" w:hRule="atLeast"/>
        </w:trPr>
        <w:tc>
          <w:tcPr>
            <w:tcW w:w="2881" w:type="pct"/>
            <w:gridSpan w:val="2"/>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medication safety behavior</w:t>
            </w:r>
          </w:p>
        </w:tc>
        <w:tc>
          <w:tcPr>
            <w:tcW w:w="458"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never</w:t>
            </w:r>
          </w:p>
        </w:tc>
        <w:tc>
          <w:tcPr>
            <w:tcW w:w="392"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seldom</w:t>
            </w:r>
          </w:p>
        </w:tc>
        <w:tc>
          <w:tcPr>
            <w:tcW w:w="517"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sometimes</w:t>
            </w:r>
          </w:p>
        </w:tc>
        <w:tc>
          <w:tcPr>
            <w:tcW w:w="387"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often</w:t>
            </w:r>
          </w:p>
        </w:tc>
        <w:tc>
          <w:tcPr>
            <w:tcW w:w="362"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always</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14</w:t>
            </w:r>
          </w:p>
        </w:tc>
        <w:tc>
          <w:tcPr>
            <w:tcW w:w="2654"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read the medication instructions and actively ask for professional help if you have any questions?</w:t>
            </w:r>
          </w:p>
        </w:tc>
        <w:tc>
          <w:tcPr>
            <w:tcW w:w="458"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15</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actively ask the doctors about the current condition and discuss the treatment with them?</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16</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actively learn from the medical staff the usage and precautions of the drugs used?</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17</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record the medication list and actively tell the doctor the medication history?</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112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18</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put up eye-catching signs on drugs that are easy to be confused and forgotten, ask the medical staff (or family members) to check together when taking them, and help yourself focus on the management of such drugs?</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19</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actively choose a fixed doctor to avoid repeated medication?</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112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20</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need your family members to implement medication monitoring, remind you of the time and dosage of medication, and find out if you have any discomfort or abnormal feelings from your medications?</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63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21</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regularly monitor the indicators to evaluate the efficacy of the drug, such as blood pressure, blood sugar, blood lipid, blood routine, etc.?</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84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22</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pay attention to the physical and psychological discomfort and timely seek help from the medical staff during the medication?</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23</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actively ask medical staff to provide you health education about medication-related knowledge?</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112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24</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 xml:space="preserve">After discharge from the hospital, </w:t>
            </w: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take the initiative to take the medicine on time according to the doctor's advice, and do not stop the medicine without authorization?</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25</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attend health lectures conducted by a hospital or a Community Healthcare Service?</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26</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read the health publicity materials issued by a hospital or a Community Healthcare Service?</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27</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attend a free medical consultation in the community or on the street?</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28</w:t>
            </w:r>
          </w:p>
        </w:tc>
        <w:tc>
          <w:tcPr>
            <w:tcW w:w="2654"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bookmarkStart w:id="0" w:name="_GoBack"/>
            <w:bookmarkEnd w:id="0"/>
            <w:r>
              <w:rPr>
                <w:rFonts w:ascii="Arial" w:hAnsi="Arial" w:eastAsia="宋体" w:cs="Times New Roman"/>
                <w:color w:val="000000"/>
                <w:kern w:val="0"/>
                <w:sz w:val="20"/>
              </w:rPr>
              <w:t xml:space="preserve"> you read the health materials promoted by the WeMedia</w:t>
            </w:r>
            <w:r>
              <w:rPr>
                <w:rFonts w:hint="eastAsia" w:ascii="Arial" w:hAnsi="Arial" w:eastAsia="宋体" w:cs="Times New Roman"/>
                <w:color w:val="000000"/>
                <w:kern w:val="0"/>
                <w:sz w:val="20"/>
                <w:lang w:val="en-US" w:eastAsia="zh-CN"/>
              </w:rPr>
              <w:t>, the</w:t>
            </w:r>
            <w:r>
              <w:rPr>
                <w:rFonts w:ascii="Arial" w:hAnsi="Arial" w:eastAsia="宋体" w:cs="Times New Roman"/>
                <w:color w:val="000000"/>
                <w:kern w:val="0"/>
                <w:sz w:val="20"/>
              </w:rPr>
              <w:t xml:space="preserve"> mobile application or online?</w:t>
            </w:r>
          </w:p>
        </w:tc>
        <w:tc>
          <w:tcPr>
            <w:tcW w:w="458"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280" w:hRule="atLeast"/>
        </w:trPr>
        <w:tc>
          <w:tcPr>
            <w:tcW w:w="2881" w:type="pct"/>
            <w:gridSpan w:val="2"/>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Attitude towards health education activities of medication safety</w:t>
            </w:r>
          </w:p>
        </w:tc>
        <w:tc>
          <w:tcPr>
            <w:tcW w:w="458"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szCs w:val="24"/>
              </w:rPr>
            </w:pPr>
            <w:r>
              <w:rPr>
                <w:rFonts w:ascii="Arial" w:hAnsi="Arial" w:eastAsia="宋体" w:cs="Times New Roman"/>
                <w:color w:val="000000"/>
                <w:kern w:val="0"/>
                <w:sz w:val="20"/>
                <w:szCs w:val="24"/>
              </w:rPr>
              <w:t>fully unnecessary</w:t>
            </w:r>
          </w:p>
        </w:tc>
        <w:tc>
          <w:tcPr>
            <w:tcW w:w="392"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szCs w:val="24"/>
              </w:rPr>
            </w:pPr>
            <w:r>
              <w:rPr>
                <w:rFonts w:ascii="Arial" w:hAnsi="Arial" w:eastAsia="宋体" w:cs="Times New Roman"/>
                <w:color w:val="000000"/>
                <w:kern w:val="0"/>
                <w:sz w:val="20"/>
                <w:szCs w:val="24"/>
              </w:rPr>
              <w:t>unnecessary</w:t>
            </w:r>
          </w:p>
        </w:tc>
        <w:tc>
          <w:tcPr>
            <w:tcW w:w="517"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szCs w:val="24"/>
              </w:rPr>
            </w:pPr>
            <w:r>
              <w:rPr>
                <w:rFonts w:ascii="Arial" w:hAnsi="Arial" w:eastAsia="宋体" w:cs="Times New Roman"/>
                <w:color w:val="000000"/>
                <w:kern w:val="0"/>
                <w:sz w:val="20"/>
                <w:szCs w:val="24"/>
              </w:rPr>
              <w:t>general</w:t>
            </w:r>
          </w:p>
        </w:tc>
        <w:tc>
          <w:tcPr>
            <w:tcW w:w="387"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szCs w:val="24"/>
              </w:rPr>
            </w:pPr>
            <w:r>
              <w:rPr>
                <w:rFonts w:ascii="Arial" w:hAnsi="Arial" w:eastAsia="宋体" w:cs="Times New Roman"/>
                <w:color w:val="000000"/>
                <w:kern w:val="0"/>
                <w:sz w:val="20"/>
                <w:szCs w:val="24"/>
              </w:rPr>
              <w:t>necessary</w:t>
            </w:r>
          </w:p>
        </w:tc>
        <w:tc>
          <w:tcPr>
            <w:tcW w:w="362"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szCs w:val="24"/>
              </w:rPr>
            </w:pPr>
            <w:r>
              <w:rPr>
                <w:rFonts w:ascii="Arial" w:hAnsi="Arial" w:eastAsia="宋体" w:cs="Times New Roman"/>
                <w:color w:val="000000"/>
                <w:kern w:val="0"/>
                <w:sz w:val="20"/>
                <w:szCs w:val="24"/>
              </w:rPr>
              <w:t>very necessary</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29</w:t>
            </w:r>
          </w:p>
        </w:tc>
        <w:tc>
          <w:tcPr>
            <w:tcW w:w="2654"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think it is necessary to attend health lectures conducted by a hospital or a Community Healthcare Service?</w:t>
            </w:r>
          </w:p>
        </w:tc>
        <w:tc>
          <w:tcPr>
            <w:tcW w:w="458"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84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30</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think it is necessary to read the health publicity materials issued by a hospital or a Community Healthcare Service?</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31</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think it is necessary to attend the free medical consultation in the community or on the street?</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32</w:t>
            </w:r>
          </w:p>
        </w:tc>
        <w:tc>
          <w:tcPr>
            <w:tcW w:w="265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think it is necessary to read the health materials promoted by the WeMedia</w:t>
            </w:r>
            <w:r>
              <w:rPr>
                <w:rFonts w:hint="eastAsia" w:ascii="Arial" w:hAnsi="Arial" w:eastAsia="宋体" w:cs="Times New Roman"/>
                <w:color w:val="000000"/>
                <w:kern w:val="0"/>
                <w:sz w:val="20"/>
                <w:lang w:val="en-US" w:eastAsia="zh-CN"/>
              </w:rPr>
              <w:t>, the</w:t>
            </w:r>
            <w:r>
              <w:rPr>
                <w:rFonts w:ascii="Arial" w:hAnsi="Arial" w:eastAsia="宋体" w:cs="Times New Roman"/>
                <w:color w:val="000000"/>
                <w:kern w:val="0"/>
                <w:sz w:val="20"/>
              </w:rPr>
              <w:t xml:space="preserve"> mobile application or online?</w:t>
            </w:r>
          </w:p>
        </w:tc>
        <w:tc>
          <w:tcPr>
            <w:tcW w:w="45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bl>
    <w:p>
      <w:pPr>
        <w:rPr>
          <w:rFonts w:hint="eastAsia" w:ascii="Arial" w:hAnsi="Arial" w:eastAsia="宋体" w:cs="Times New Roman"/>
          <w:color w:val="000000"/>
          <w:kern w:val="0"/>
          <w:sz w:val="20"/>
          <w:szCs w:val="22"/>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346D4D"/>
    <w:rsid w:val="0A346D4D"/>
    <w:rsid w:val="2C830E5E"/>
    <w:rsid w:val="307C1538"/>
    <w:rsid w:val="48A26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uiPriority w:val="99"/>
    <w:pPr>
      <w:spacing w:line="240" w:lineRule="auto"/>
    </w:pPr>
    <w:rPr>
      <w:sz w:val="20"/>
      <w:szCs w:val="20"/>
    </w:rPr>
  </w:style>
  <w:style w:type="character" w:styleId="5">
    <w:name w:val="annotation reference"/>
    <w:basedOn w:val="4"/>
    <w:qFormat/>
    <w:uiPriority w:val="0"/>
    <w:rPr>
      <w:sz w:val="16"/>
      <w:szCs w:val="16"/>
    </w:rPr>
  </w:style>
  <w:style w:type="character" w:customStyle="1" w:styleId="6">
    <w:name w:val="s1"/>
    <w:basedOn w:val="4"/>
    <w:qFormat/>
    <w:uiPriority w:val="0"/>
    <w:rPr>
      <w:rFonts w:ascii="Helvetica" w:hAnsi="Helvetica" w:eastAsia="Helvetica" w:cs="Helvetica"/>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2021-07-13T04:06:00Z</dcterms:created>
  <dc:creator>沈健</dc:creator>
  <cp:lastModifiedBy>沈健</cp:lastModifiedBy>
  <dcterms:modified xsi:type="dcterms:W3CDTF">2021-09-22T16:38:23Z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