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b/>
          <w:bCs/>
          <w:sz w:val="32"/>
          <w:szCs w:val="40"/>
          <w:lang w:val="en-US" w:eastAsia="zh-CN"/>
        </w:rPr>
      </w:pPr>
      <w:r>
        <w:rPr>
          <w:rFonts w:hint="default"/>
          <w:b/>
          <w:bCs/>
          <w:sz w:val="32"/>
          <w:szCs w:val="40"/>
          <w:lang w:val="en-US" w:eastAsia="zh-CN"/>
        </w:rPr>
        <w:t>Supplementary materials</w:t>
      </w:r>
    </w:p>
    <w:p>
      <w:pPr>
        <w:bidi w:val="0"/>
        <w:rPr>
          <w:rFonts w:hint="eastAsia"/>
          <w:b/>
          <w:bCs/>
          <w:sz w:val="32"/>
          <w:szCs w:val="40"/>
          <w:lang w:val="en-US" w:eastAsia="zh-CN"/>
        </w:rPr>
      </w:pPr>
      <w:r>
        <w:rPr>
          <w:rFonts w:hint="eastAsia"/>
          <w:b/>
          <w:bCs/>
          <w:sz w:val="32"/>
          <w:szCs w:val="40"/>
          <w:lang w:val="en-US" w:eastAsia="zh-CN"/>
        </w:rPr>
        <w:t>Appendix 2: formal scale</w:t>
      </w:r>
    </w:p>
    <w:p>
      <w:pPr>
        <w:bidi w:val="0"/>
        <w:rPr>
          <w:rFonts w:hint="eastAsia"/>
          <w:b/>
          <w:bCs/>
          <w:sz w:val="32"/>
          <w:szCs w:val="40"/>
          <w:lang w:val="en-US" w:eastAsia="zh-CN"/>
        </w:rPr>
      </w:pPr>
      <w:r>
        <w:rPr>
          <w:rFonts w:hint="eastAsia"/>
          <w:b/>
          <w:bCs/>
          <w:sz w:val="32"/>
          <w:szCs w:val="40"/>
          <w:lang w:val="en-US" w:eastAsia="zh-CN"/>
        </w:rPr>
        <w:t>The Knowledge, Attitude, and Practice Scale for Medication Safety in Patients with Chronic Kidney Disease</w:t>
      </w:r>
    </w:p>
    <w:p>
      <w:pPr>
        <w:rPr>
          <w:rFonts w:hint="eastAsia" w:ascii="Arial" w:hAnsi="Arial" w:eastAsia="宋体" w:cs="Times New Roman"/>
          <w:color w:val="000000"/>
          <w:kern w:val="0"/>
          <w:sz w:val="20"/>
          <w:szCs w:val="22"/>
          <w:lang w:val="en-US" w:eastAsia="zh-CN"/>
        </w:rPr>
      </w:pPr>
      <w:r>
        <w:rPr>
          <w:rFonts w:hint="eastAsia" w:ascii="Arial" w:hAnsi="Arial" w:eastAsia="宋体" w:cs="Times New Roman"/>
          <w:color w:val="000000"/>
          <w:kern w:val="0"/>
          <w:sz w:val="20"/>
          <w:szCs w:val="22"/>
          <w:lang w:val="en-US" w:eastAsia="zh-CN"/>
        </w:rPr>
        <w:t>Name: _________ Age: ___________Date: ___________</w:t>
      </w:r>
    </w:p>
    <w:p>
      <w:pPr>
        <w:rPr>
          <w:rFonts w:hint="eastAsia" w:ascii="Arial" w:hAnsi="Arial" w:eastAsia="宋体" w:cs="Times New Roman"/>
          <w:color w:val="000000"/>
          <w:kern w:val="0"/>
          <w:sz w:val="20"/>
          <w:szCs w:val="22"/>
          <w:lang w:val="en-US" w:eastAsia="zh-CN"/>
        </w:rPr>
      </w:pPr>
    </w:p>
    <w:tbl>
      <w:tblPr>
        <w:tblStyle w:val="3"/>
        <w:tblW w:w="5807" w:type="pct"/>
        <w:tblInd w:w="-587" w:type="dxa"/>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Layout w:type="fixed"/>
        <w:tblCellMar>
          <w:top w:w="0" w:type="dxa"/>
          <w:left w:w="0" w:type="dxa"/>
          <w:bottom w:w="0" w:type="dxa"/>
          <w:right w:w="0" w:type="dxa"/>
        </w:tblCellMar>
      </w:tblPr>
      <w:tblGrid>
        <w:gridCol w:w="438"/>
        <w:gridCol w:w="5192"/>
        <w:gridCol w:w="829"/>
        <w:gridCol w:w="760"/>
        <w:gridCol w:w="1000"/>
        <w:gridCol w:w="750"/>
        <w:gridCol w:w="701"/>
      </w:tblGrid>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940" w:hRule="atLeast"/>
        </w:trPr>
        <w:tc>
          <w:tcPr>
            <w:tcW w:w="5000" w:type="pct"/>
            <w:gridSpan w:val="7"/>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The following questions are used to reflect your knowledge and behavior of self-medication, and attitude towards education activities of medication safety</w:t>
            </w:r>
            <w:r>
              <w:rPr>
                <w:rFonts w:ascii="Arial" w:hAnsi="Arial" w:eastAsia="宋体" w:cs="Times New Roman"/>
                <w:color w:val="000000"/>
                <w:kern w:val="0"/>
                <w:sz w:val="20"/>
                <w:lang w:val="en-GB"/>
              </w:rPr>
              <w:t xml:space="preserve">. </w:t>
            </w:r>
            <w:r>
              <w:rPr>
                <w:rFonts w:ascii="Arial" w:hAnsi="Arial" w:eastAsia="宋体" w:cs="Times New Roman"/>
                <w:color w:val="000000"/>
                <w:kern w:val="0"/>
                <w:sz w:val="20"/>
              </w:rPr>
              <w:t>Please draw "√" at the options according to your actual situation.</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Item</w:t>
            </w:r>
          </w:p>
        </w:tc>
        <w:tc>
          <w:tcPr>
            <w:tcW w:w="2684"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content</w:t>
            </w:r>
          </w:p>
        </w:tc>
        <w:tc>
          <w:tcPr>
            <w:tcW w:w="2088" w:type="pct"/>
            <w:gridSpan w:val="5"/>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options</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911" w:type="pct"/>
            <w:gridSpan w:val="2"/>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default" w:ascii="Arial" w:hAnsi="Arial"/>
                <w:sz w:val="21"/>
                <w:lang w:val="en-US" w:eastAsia="zh-CN"/>
              </w:rPr>
              <w:t>Knowledge about medication safety in CKD</w:t>
            </w:r>
          </w:p>
        </w:tc>
        <w:tc>
          <w:tcPr>
            <w:tcW w:w="428"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totally ignorant</w:t>
            </w:r>
          </w:p>
        </w:tc>
        <w:tc>
          <w:tcPr>
            <w:tcW w:w="392"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ignorant</w:t>
            </w:r>
          </w:p>
        </w:tc>
        <w:tc>
          <w:tcPr>
            <w:tcW w:w="517"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general</w:t>
            </w:r>
          </w:p>
        </w:tc>
        <w:tc>
          <w:tcPr>
            <w:tcW w:w="387"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partially aware</w:t>
            </w:r>
          </w:p>
        </w:tc>
        <w:tc>
          <w:tcPr>
            <w:tcW w:w="362"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highlight w:val="none"/>
              </w:rPr>
            </w:pPr>
            <w:r>
              <w:rPr>
                <w:rFonts w:ascii="Arial" w:hAnsi="Arial" w:eastAsia="宋体" w:cs="Times New Roman"/>
                <w:color w:val="000000"/>
                <w:kern w:val="0"/>
                <w:sz w:val="20"/>
                <w:highlight w:val="none"/>
              </w:rPr>
              <w:t>fully aware</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62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eastAsia="zh-CN"/>
              </w:rPr>
            </w:pPr>
            <w:r>
              <w:rPr>
                <w:rFonts w:hint="eastAsia" w:ascii="Arial" w:hAnsi="Arial" w:eastAsia="宋体" w:cs="Times New Roman"/>
                <w:color w:val="000000"/>
                <w:kern w:val="0"/>
                <w:sz w:val="20"/>
                <w:lang w:val="en-US" w:eastAsia="zh-CN"/>
              </w:rPr>
              <w:t>1</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adverse reactions, contraindications, and precautions of the medication used?</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eastAsia="zh-CN"/>
              </w:rPr>
            </w:pPr>
            <w:r>
              <w:rPr>
                <w:rFonts w:hint="eastAsia" w:ascii="Arial" w:hAnsi="Arial" w:eastAsia="宋体" w:cs="Times New Roman"/>
                <w:color w:val="000000"/>
                <w:kern w:val="0"/>
                <w:sz w:val="20"/>
                <w:lang w:val="en-US" w:eastAsia="zh-CN"/>
              </w:rPr>
              <w:t>2</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interaction between the drugs used?</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eastAsia="zh-CN"/>
              </w:rPr>
            </w:pPr>
            <w:r>
              <w:rPr>
                <w:rFonts w:hint="eastAsia" w:ascii="Arial" w:hAnsi="Arial" w:eastAsia="宋体" w:cs="Times New Roman"/>
                <w:color w:val="000000"/>
                <w:kern w:val="0"/>
                <w:sz w:val="20"/>
                <w:lang w:val="en-US" w:eastAsia="zh-CN"/>
              </w:rPr>
              <w:t>3</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dangers of polypharmacy?</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eastAsia="zh-CN"/>
              </w:rPr>
            </w:pPr>
            <w:r>
              <w:rPr>
                <w:rFonts w:hint="eastAsia" w:ascii="Arial" w:hAnsi="Arial" w:eastAsia="宋体" w:cs="Times New Roman"/>
                <w:color w:val="000000"/>
                <w:kern w:val="0"/>
                <w:sz w:val="20"/>
                <w:lang w:val="en-US" w:eastAsia="zh-CN"/>
              </w:rPr>
              <w:t>4</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physiological characteristics and medication particularity of people in different age groups?</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5</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how to judge the occurrence of adverse drug reactions and deal with them correctly?</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6</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side effects of health care products, proprietary Chinese medicines, and Chinese herbal medicines?</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7</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types of drugs used with caution and forbidden in CKD patients?</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eastAsia="zh-CN"/>
              </w:rPr>
            </w:pPr>
            <w:r>
              <w:rPr>
                <w:rFonts w:hint="eastAsia" w:ascii="Arial" w:hAnsi="Arial" w:eastAsia="宋体" w:cs="Times New Roman"/>
                <w:color w:val="000000"/>
                <w:kern w:val="0"/>
                <w:sz w:val="20"/>
                <w:lang w:val="en-US" w:eastAsia="zh-CN"/>
              </w:rPr>
              <w:t>8</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the usage and dosage adjustment of drugs used in CKD patients?</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eastAsia="zh-CN"/>
              </w:rPr>
            </w:pPr>
            <w:r>
              <w:rPr>
                <w:rFonts w:hint="eastAsia" w:ascii="Arial" w:hAnsi="Arial" w:eastAsia="宋体" w:cs="Times New Roman"/>
                <w:color w:val="000000"/>
                <w:kern w:val="0"/>
                <w:sz w:val="20"/>
                <w:lang w:val="en-US" w:eastAsia="zh-CN"/>
              </w:rPr>
              <w:t>9</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know other drugs and examination methods that may damage renal function?</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1</w:t>
            </w:r>
            <w:r>
              <w:rPr>
                <w:rFonts w:hint="eastAsia" w:ascii="Arial" w:hAnsi="Arial" w:eastAsia="宋体" w:cs="Times New Roman"/>
                <w:color w:val="000000"/>
                <w:kern w:val="0"/>
                <w:sz w:val="20"/>
                <w:lang w:val="en-US" w:eastAsia="zh-CN"/>
              </w:rPr>
              <w:t>0</w:t>
            </w:r>
          </w:p>
        </w:tc>
        <w:tc>
          <w:tcPr>
            <w:tcW w:w="2684"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 xml:space="preserve">Do you know how to </w:t>
            </w:r>
            <w:r>
              <w:rPr>
                <w:rFonts w:hint="eastAsia" w:ascii="Arial" w:hAnsi="Arial" w:eastAsia="宋体" w:cs="Times New Roman"/>
                <w:color w:val="000000"/>
                <w:kern w:val="0"/>
                <w:sz w:val="20"/>
                <w:lang w:val="en-US" w:eastAsia="zh-CN"/>
              </w:rPr>
              <w:t>protect</w:t>
            </w:r>
            <w:r>
              <w:rPr>
                <w:rFonts w:ascii="Arial" w:hAnsi="Arial" w:eastAsia="宋体" w:cs="Times New Roman"/>
                <w:color w:val="000000"/>
                <w:kern w:val="0"/>
                <w:sz w:val="20"/>
              </w:rPr>
              <w:t xml:space="preserve"> your kidney </w:t>
            </w:r>
            <w:r>
              <w:rPr>
                <w:rFonts w:hint="eastAsia" w:ascii="Arial" w:hAnsi="Arial" w:eastAsia="宋体" w:cs="Times New Roman"/>
                <w:color w:val="000000"/>
                <w:kern w:val="0"/>
                <w:sz w:val="20"/>
                <w:lang w:val="en-US" w:eastAsia="zh-CN"/>
              </w:rPr>
              <w:t>i</w:t>
            </w:r>
            <w:r>
              <w:rPr>
                <w:rFonts w:hint="eastAsia" w:ascii="Arial" w:hAnsi="Arial" w:eastAsia="宋体" w:cs="Times New Roman"/>
                <w:color w:val="000000"/>
                <w:kern w:val="0"/>
                <w:sz w:val="20"/>
              </w:rPr>
              <w:t>n everyday life</w:t>
            </w:r>
            <w:r>
              <w:rPr>
                <w:rFonts w:ascii="Arial" w:hAnsi="Arial" w:eastAsia="宋体" w:cs="Times New Roman"/>
                <w:color w:val="000000"/>
                <w:kern w:val="0"/>
                <w:sz w:val="20"/>
              </w:rPr>
              <w:t>?</w:t>
            </w:r>
          </w:p>
        </w:tc>
        <w:tc>
          <w:tcPr>
            <w:tcW w:w="428"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911" w:type="pct"/>
            <w:gridSpan w:val="2"/>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M</w:t>
            </w:r>
            <w:r>
              <w:rPr>
                <w:rFonts w:ascii="Arial" w:hAnsi="Arial" w:eastAsia="宋体" w:cs="Times New Roman"/>
                <w:color w:val="000000"/>
                <w:kern w:val="0"/>
                <w:sz w:val="20"/>
              </w:rPr>
              <w:t>edication safety behavior</w:t>
            </w:r>
          </w:p>
        </w:tc>
        <w:tc>
          <w:tcPr>
            <w:tcW w:w="428"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never</w:t>
            </w:r>
          </w:p>
        </w:tc>
        <w:tc>
          <w:tcPr>
            <w:tcW w:w="392"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seldom</w:t>
            </w:r>
          </w:p>
        </w:tc>
        <w:tc>
          <w:tcPr>
            <w:tcW w:w="517"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sometimes</w:t>
            </w:r>
          </w:p>
        </w:tc>
        <w:tc>
          <w:tcPr>
            <w:tcW w:w="387"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often</w:t>
            </w:r>
          </w:p>
        </w:tc>
        <w:tc>
          <w:tcPr>
            <w:tcW w:w="362"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rPr>
            </w:pPr>
            <w:r>
              <w:rPr>
                <w:rFonts w:ascii="Arial" w:hAnsi="Arial" w:eastAsia="宋体" w:cs="Times New Roman"/>
                <w:color w:val="000000"/>
                <w:kern w:val="0"/>
                <w:sz w:val="20"/>
              </w:rPr>
              <w:t>always</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1</w:t>
            </w:r>
            <w:r>
              <w:rPr>
                <w:rFonts w:hint="eastAsia" w:ascii="Arial" w:hAnsi="Arial" w:eastAsia="宋体" w:cs="Times New Roman"/>
                <w:color w:val="000000"/>
                <w:kern w:val="0"/>
                <w:sz w:val="20"/>
                <w:lang w:val="en-US" w:eastAsia="zh-CN"/>
              </w:rPr>
              <w:t>1</w:t>
            </w:r>
          </w:p>
        </w:tc>
        <w:tc>
          <w:tcPr>
            <w:tcW w:w="2684"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read the medication instructions and actively ask for professional help if you have any questions?</w:t>
            </w:r>
          </w:p>
        </w:tc>
        <w:tc>
          <w:tcPr>
            <w:tcW w:w="428"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1</w:t>
            </w:r>
            <w:r>
              <w:rPr>
                <w:rFonts w:hint="eastAsia" w:ascii="Arial" w:hAnsi="Arial" w:eastAsia="宋体" w:cs="Times New Roman"/>
                <w:color w:val="000000"/>
                <w:kern w:val="0"/>
                <w:sz w:val="20"/>
                <w:lang w:val="en-US" w:eastAsia="zh-CN"/>
              </w:rPr>
              <w:t>2</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actively ask the doctors about the current condition and discuss the treatment with them?</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1</w:t>
            </w:r>
            <w:r>
              <w:rPr>
                <w:rFonts w:hint="eastAsia" w:ascii="Arial" w:hAnsi="Arial" w:eastAsia="宋体" w:cs="Times New Roman"/>
                <w:color w:val="000000"/>
                <w:kern w:val="0"/>
                <w:sz w:val="20"/>
                <w:lang w:val="en-US" w:eastAsia="zh-CN"/>
              </w:rPr>
              <w:t>3</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hint="eastAsia" w:ascii="Arial" w:hAnsi="Arial" w:eastAsia="宋体" w:cs="Times New Roman"/>
                <w:color w:val="000000"/>
                <w:kern w:val="0"/>
                <w:sz w:val="20"/>
              </w:rPr>
              <w:t xml:space="preserve"> you actively learn from the medical staff the name, indications, usage and dosage, adverse reactions, contraindications and precautions of the drugs used?</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1</w:t>
            </w:r>
            <w:r>
              <w:rPr>
                <w:rFonts w:hint="eastAsia" w:ascii="Arial" w:hAnsi="Arial" w:eastAsia="宋体" w:cs="Times New Roman"/>
                <w:color w:val="000000"/>
                <w:kern w:val="0"/>
                <w:sz w:val="20"/>
                <w:lang w:val="en-US" w:eastAsia="zh-CN"/>
              </w:rPr>
              <w:t>4</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record the medication list and actively tell the doctor the medication history (including prescription drugs, over-the-counter drugs, and health products)?</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1</w:t>
            </w:r>
            <w:r>
              <w:rPr>
                <w:rFonts w:hint="eastAsia" w:ascii="Arial" w:hAnsi="Arial" w:eastAsia="宋体" w:cs="Times New Roman"/>
                <w:color w:val="000000"/>
                <w:kern w:val="0"/>
                <w:sz w:val="20"/>
                <w:lang w:val="en-US" w:eastAsia="zh-CN"/>
              </w:rPr>
              <w:t>5</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put up eye-catching signs on drugs that are easy to be confused and forgotten, ask the medical staff (or family members) to check together when taking them, and help yourself focus on the management of such drugs?</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1</w:t>
            </w:r>
            <w:r>
              <w:rPr>
                <w:rFonts w:hint="eastAsia" w:ascii="Arial" w:hAnsi="Arial" w:eastAsia="宋体" w:cs="Times New Roman"/>
                <w:color w:val="000000"/>
                <w:kern w:val="0"/>
                <w:sz w:val="20"/>
                <w:lang w:val="en-US" w:eastAsia="zh-CN"/>
              </w:rPr>
              <w:t>6</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actively choose a fixed doctor to avoid repeated medication?</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112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default"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17</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regularly monitor the indicators to evaluate the efficacy of the drug, such as blood pressure, blood sugar, blood lipid, blood routine, etc.?</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default"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18</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pay attention to the physical and psychological discomfort and timely seek help from the medical staff during the medication?</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112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default"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19</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actively ask medical staff to provide you health education about medication-related knowledge?</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630" w:hRule="atLeast"/>
        </w:trPr>
        <w:tc>
          <w:tcPr>
            <w:tcW w:w="226"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2</w:t>
            </w:r>
            <w:r>
              <w:rPr>
                <w:rFonts w:hint="eastAsia" w:ascii="Arial" w:hAnsi="Arial" w:eastAsia="宋体" w:cs="Times New Roman"/>
                <w:color w:val="000000"/>
                <w:kern w:val="0"/>
                <w:sz w:val="20"/>
                <w:lang w:val="en-US" w:eastAsia="zh-CN"/>
              </w:rPr>
              <w:t>0</w:t>
            </w:r>
          </w:p>
        </w:tc>
        <w:tc>
          <w:tcPr>
            <w:tcW w:w="2684"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 xml:space="preserve">After discharge from the hospital, </w:t>
            </w: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take the initiative to take the medicine on time according to the doctor's advice, and do not stop the medicine without authorization?</w:t>
            </w:r>
          </w:p>
        </w:tc>
        <w:tc>
          <w:tcPr>
            <w:tcW w:w="428"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840" w:hRule="atLeast"/>
        </w:trPr>
        <w:tc>
          <w:tcPr>
            <w:tcW w:w="2911" w:type="pct"/>
            <w:gridSpan w:val="2"/>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default" w:ascii="Arial" w:hAnsi="Arial"/>
                <w:sz w:val="21"/>
                <w:lang w:val="en-US" w:eastAsia="zh-CN"/>
              </w:rPr>
              <w:t>Participation in health education activities of medication safety</w:t>
            </w:r>
          </w:p>
        </w:tc>
        <w:tc>
          <w:tcPr>
            <w:tcW w:w="428"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szCs w:val="24"/>
                <w:lang w:val="en-US" w:eastAsia="zh-CN" w:bidi="ar-SA"/>
              </w:rPr>
            </w:pPr>
            <w:r>
              <w:rPr>
                <w:rFonts w:ascii="Arial" w:hAnsi="Arial" w:eastAsia="宋体" w:cs="Times New Roman"/>
                <w:color w:val="000000"/>
                <w:kern w:val="0"/>
                <w:sz w:val="20"/>
              </w:rPr>
              <w:t>never</w:t>
            </w:r>
          </w:p>
        </w:tc>
        <w:tc>
          <w:tcPr>
            <w:tcW w:w="392"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szCs w:val="24"/>
                <w:lang w:val="en-US" w:eastAsia="zh-CN" w:bidi="ar-SA"/>
              </w:rPr>
            </w:pPr>
            <w:r>
              <w:rPr>
                <w:rFonts w:ascii="Arial" w:hAnsi="Arial" w:eastAsia="宋体" w:cs="Times New Roman"/>
                <w:color w:val="000000"/>
                <w:kern w:val="0"/>
                <w:sz w:val="20"/>
              </w:rPr>
              <w:t>seldom</w:t>
            </w:r>
          </w:p>
        </w:tc>
        <w:tc>
          <w:tcPr>
            <w:tcW w:w="517"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szCs w:val="24"/>
                <w:lang w:val="en-US" w:eastAsia="zh-CN" w:bidi="ar-SA"/>
              </w:rPr>
            </w:pPr>
            <w:r>
              <w:rPr>
                <w:rFonts w:ascii="Arial" w:hAnsi="Arial" w:eastAsia="宋体" w:cs="Times New Roman"/>
                <w:color w:val="000000"/>
                <w:kern w:val="0"/>
                <w:sz w:val="20"/>
              </w:rPr>
              <w:t>sometimes</w:t>
            </w:r>
          </w:p>
        </w:tc>
        <w:tc>
          <w:tcPr>
            <w:tcW w:w="387"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szCs w:val="24"/>
                <w:lang w:val="en-US" w:eastAsia="zh-CN" w:bidi="ar-SA"/>
              </w:rPr>
            </w:pPr>
            <w:r>
              <w:rPr>
                <w:rFonts w:ascii="Arial" w:hAnsi="Arial" w:eastAsia="宋体" w:cs="Times New Roman"/>
                <w:color w:val="000000"/>
                <w:kern w:val="0"/>
                <w:sz w:val="20"/>
              </w:rPr>
              <w:t>often</w:t>
            </w:r>
          </w:p>
        </w:tc>
        <w:tc>
          <w:tcPr>
            <w:tcW w:w="362" w:type="pct"/>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center"/>
              <w:textAlignment w:val="center"/>
              <w:rPr>
                <w:rFonts w:ascii="Arial" w:hAnsi="Arial" w:eastAsia="宋体" w:cs="Times New Roman"/>
                <w:color w:val="000000"/>
                <w:kern w:val="0"/>
                <w:sz w:val="20"/>
                <w:szCs w:val="24"/>
                <w:lang w:val="en-US" w:eastAsia="zh-CN" w:bidi="ar-SA"/>
              </w:rPr>
            </w:pPr>
            <w:r>
              <w:rPr>
                <w:rFonts w:ascii="Arial" w:hAnsi="Arial" w:eastAsia="宋体" w:cs="Times New Roman"/>
                <w:color w:val="000000"/>
                <w:kern w:val="0"/>
                <w:sz w:val="20"/>
              </w:rPr>
              <w:t>always</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840" w:hRule="atLeast"/>
        </w:trPr>
        <w:tc>
          <w:tcPr>
            <w:tcW w:w="226"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2</w:t>
            </w:r>
            <w:r>
              <w:rPr>
                <w:rFonts w:hint="eastAsia" w:ascii="Arial" w:hAnsi="Arial" w:eastAsia="宋体" w:cs="Times New Roman"/>
                <w:color w:val="000000"/>
                <w:kern w:val="0"/>
                <w:sz w:val="20"/>
                <w:lang w:val="en-US" w:eastAsia="zh-CN"/>
              </w:rPr>
              <w:t>1</w:t>
            </w:r>
          </w:p>
        </w:tc>
        <w:tc>
          <w:tcPr>
            <w:tcW w:w="2684"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attend health lectures conducted by a hospital or a Community Healthcare Service?</w:t>
            </w:r>
          </w:p>
        </w:tc>
        <w:tc>
          <w:tcPr>
            <w:tcW w:w="428"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2</w:t>
            </w:r>
            <w:r>
              <w:rPr>
                <w:rFonts w:hint="eastAsia" w:ascii="Arial" w:hAnsi="Arial" w:eastAsia="宋体" w:cs="Times New Roman"/>
                <w:color w:val="000000"/>
                <w:kern w:val="0"/>
                <w:sz w:val="20"/>
                <w:lang w:val="en-US" w:eastAsia="zh-CN"/>
              </w:rPr>
              <w:t>2</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read the health publicity materials issued by a hospital or a Community Healthcare Service?</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112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2</w:t>
            </w:r>
            <w:r>
              <w:rPr>
                <w:rFonts w:hint="eastAsia" w:ascii="Arial" w:hAnsi="Arial" w:eastAsia="宋体" w:cs="Times New Roman"/>
                <w:color w:val="000000"/>
                <w:kern w:val="0"/>
                <w:sz w:val="20"/>
                <w:lang w:val="en-US" w:eastAsia="zh-CN"/>
              </w:rPr>
              <w:t>3</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r>
              <w:rPr>
                <w:rFonts w:ascii="Arial" w:hAnsi="Arial" w:eastAsia="宋体" w:cs="Times New Roman"/>
                <w:color w:val="000000"/>
                <w:kern w:val="0"/>
                <w:sz w:val="20"/>
              </w:rPr>
              <w:t xml:space="preserve"> you attend a free medical consultation in the community or on the street?</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2</w:t>
            </w:r>
            <w:r>
              <w:rPr>
                <w:rFonts w:hint="eastAsia" w:ascii="Arial" w:hAnsi="Arial" w:eastAsia="宋体" w:cs="Times New Roman"/>
                <w:color w:val="000000"/>
                <w:kern w:val="0"/>
                <w:sz w:val="20"/>
                <w:lang w:val="en-US" w:eastAsia="zh-CN"/>
              </w:rPr>
              <w:t>4</w:t>
            </w:r>
          </w:p>
        </w:tc>
        <w:tc>
          <w:tcPr>
            <w:tcW w:w="2684"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eastAsia" w:ascii="Arial" w:hAnsi="Arial" w:eastAsia="宋体" w:cs="Times New Roman"/>
                <w:color w:val="000000"/>
                <w:kern w:val="0"/>
                <w:sz w:val="20"/>
                <w:lang w:val="en-US" w:eastAsia="zh-CN"/>
              </w:rPr>
              <w:t>How often do</w:t>
            </w:r>
            <w:bookmarkStart w:id="0" w:name="_GoBack"/>
            <w:bookmarkEnd w:id="0"/>
            <w:r>
              <w:rPr>
                <w:rFonts w:ascii="Arial" w:hAnsi="Arial" w:eastAsia="宋体" w:cs="Times New Roman"/>
                <w:color w:val="000000"/>
                <w:kern w:val="0"/>
                <w:sz w:val="20"/>
              </w:rPr>
              <w:t xml:space="preserve"> you read the health materials promoted by the WeMedia</w:t>
            </w:r>
            <w:r>
              <w:rPr>
                <w:rFonts w:hint="eastAsia" w:ascii="Arial" w:hAnsi="Arial" w:eastAsia="宋体" w:cs="Times New Roman"/>
                <w:color w:val="000000"/>
                <w:kern w:val="0"/>
                <w:sz w:val="20"/>
                <w:lang w:val="en-US" w:eastAsia="zh-CN"/>
              </w:rPr>
              <w:t>, the</w:t>
            </w:r>
            <w:r>
              <w:rPr>
                <w:rFonts w:ascii="Arial" w:hAnsi="Arial" w:eastAsia="宋体" w:cs="Times New Roman"/>
                <w:color w:val="000000"/>
                <w:kern w:val="0"/>
                <w:sz w:val="20"/>
              </w:rPr>
              <w:t xml:space="preserve"> mobile application or online?</w:t>
            </w:r>
          </w:p>
        </w:tc>
        <w:tc>
          <w:tcPr>
            <w:tcW w:w="428"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bottom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911" w:type="pct"/>
            <w:gridSpan w:val="2"/>
            <w:tcBorders>
              <w:top w:val="single" w:color="auto" w:sz="8" w:space="0"/>
              <w:bottom w:val="single" w:color="auto" w:sz="8" w:space="0"/>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hint="default" w:ascii="Arial" w:hAnsi="Arial"/>
                <w:sz w:val="21"/>
                <w:lang w:val="en-US" w:eastAsia="zh-CN"/>
              </w:rPr>
              <w:t>Attitude towards health education activities of medication safety</w:t>
            </w:r>
          </w:p>
        </w:tc>
        <w:tc>
          <w:tcPr>
            <w:tcW w:w="428"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szCs w:val="24"/>
              </w:rPr>
              <w:t>fully unnecessary</w:t>
            </w:r>
          </w:p>
        </w:tc>
        <w:tc>
          <w:tcPr>
            <w:tcW w:w="392"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szCs w:val="24"/>
              </w:rPr>
              <w:t>unnecessary</w:t>
            </w:r>
          </w:p>
        </w:tc>
        <w:tc>
          <w:tcPr>
            <w:tcW w:w="517"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szCs w:val="24"/>
              </w:rPr>
              <w:t>general</w:t>
            </w:r>
          </w:p>
        </w:tc>
        <w:tc>
          <w:tcPr>
            <w:tcW w:w="387"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szCs w:val="24"/>
              </w:rPr>
              <w:t>necessary</w:t>
            </w:r>
          </w:p>
        </w:tc>
        <w:tc>
          <w:tcPr>
            <w:tcW w:w="362" w:type="pct"/>
            <w:tcBorders>
              <w:top w:val="single" w:color="auto" w:sz="8" w:space="0"/>
              <w:bottom w:val="single" w:color="auto" w:sz="8" w:space="0"/>
            </w:tcBorders>
            <w:shd w:val="clear" w:color="auto" w:fill="auto"/>
            <w:noWrap/>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szCs w:val="24"/>
              </w:rPr>
              <w:t>very necessary</w:t>
            </w: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eastAsia" w:ascii="Arial" w:hAnsi="Arial" w:eastAsia="宋体" w:cs="Times New Roman"/>
                <w:color w:val="000000"/>
                <w:kern w:val="0"/>
                <w:sz w:val="20"/>
                <w:lang w:val="en-US" w:eastAsia="zh-CN"/>
              </w:rPr>
            </w:pPr>
            <w:r>
              <w:rPr>
                <w:rFonts w:ascii="Arial" w:hAnsi="Arial" w:eastAsia="宋体" w:cs="Times New Roman"/>
                <w:color w:val="000000"/>
                <w:kern w:val="0"/>
                <w:sz w:val="20"/>
              </w:rPr>
              <w:t>2</w:t>
            </w:r>
            <w:r>
              <w:rPr>
                <w:rFonts w:hint="eastAsia" w:ascii="Arial" w:hAnsi="Arial" w:eastAsia="宋体" w:cs="Times New Roman"/>
                <w:color w:val="000000"/>
                <w:kern w:val="0"/>
                <w:sz w:val="20"/>
                <w:lang w:val="en-US" w:eastAsia="zh-CN"/>
              </w:rPr>
              <w:t>5</w:t>
            </w:r>
          </w:p>
        </w:tc>
        <w:tc>
          <w:tcPr>
            <w:tcW w:w="2684"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think it is necessary to attend health lectures conducted by a hospital or a Community Healthcare Service?</w:t>
            </w:r>
          </w:p>
        </w:tc>
        <w:tc>
          <w:tcPr>
            <w:tcW w:w="428"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op w:val="single" w:color="auto" w:sz="8" w:space="0"/>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default"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26</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think it is necessary to read the health publicity materials issued by a hospital or a Community Healthcare Service?</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28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default"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27</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think it is necessary to attend the free medical consultation in the community or on the street?</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szCs w:val="24"/>
              </w:rPr>
            </w:pPr>
          </w:p>
        </w:tc>
      </w:tr>
      <w:tr>
        <w:tblPrEx>
          <w:tblBorders>
            <w:top w:val="single" w:color="auto" w:sz="8" w:space="0"/>
            <w:left w:val="single" w:color="auto" w:sz="8" w:space="0"/>
            <w:bottom w:val="single" w:color="auto" w:sz="8" w:space="0"/>
            <w:right w:val="single" w:color="auto" w:sz="8" w:space="0"/>
            <w:insideH w:val="none" w:color="auto" w:sz="0" w:space="0"/>
            <w:insideV w:val="single" w:color="auto" w:sz="8" w:space="0"/>
          </w:tblBorders>
          <w:tblCellMar>
            <w:top w:w="0" w:type="dxa"/>
            <w:left w:w="0" w:type="dxa"/>
            <w:bottom w:w="0" w:type="dxa"/>
            <w:right w:w="0" w:type="dxa"/>
          </w:tblCellMar>
        </w:tblPrEx>
        <w:trPr>
          <w:trHeight w:val="560" w:hRule="atLeast"/>
        </w:trPr>
        <w:tc>
          <w:tcPr>
            <w:tcW w:w="226" w:type="pct"/>
            <w:tcBorders>
              <w:tl2br w:val="nil"/>
              <w:tr2bl w:val="nil"/>
            </w:tcBorders>
            <w:shd w:val="clear" w:color="auto" w:fill="auto"/>
            <w:tcMar>
              <w:top w:w="10" w:type="dxa"/>
              <w:left w:w="10" w:type="dxa"/>
              <w:right w:w="10" w:type="dxa"/>
            </w:tcMar>
            <w:vAlign w:val="center"/>
          </w:tcPr>
          <w:p>
            <w:pPr>
              <w:widowControl/>
              <w:spacing w:line="480" w:lineRule="auto"/>
              <w:jc w:val="center"/>
              <w:textAlignment w:val="center"/>
              <w:rPr>
                <w:rFonts w:hint="default" w:ascii="Arial" w:hAnsi="Arial" w:eastAsia="宋体" w:cs="Times New Roman"/>
                <w:color w:val="000000"/>
                <w:kern w:val="0"/>
                <w:sz w:val="20"/>
                <w:lang w:val="en-US" w:eastAsia="zh-CN"/>
              </w:rPr>
            </w:pPr>
            <w:r>
              <w:rPr>
                <w:rFonts w:hint="eastAsia" w:ascii="Arial" w:hAnsi="Arial" w:eastAsia="宋体" w:cs="Times New Roman"/>
                <w:color w:val="000000"/>
                <w:kern w:val="0"/>
                <w:sz w:val="20"/>
                <w:lang w:val="en-US" w:eastAsia="zh-CN"/>
              </w:rPr>
              <w:t>28</w:t>
            </w:r>
          </w:p>
        </w:tc>
        <w:tc>
          <w:tcPr>
            <w:tcW w:w="2684"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r>
              <w:rPr>
                <w:rFonts w:ascii="Arial" w:hAnsi="Arial" w:eastAsia="宋体" w:cs="Times New Roman"/>
                <w:color w:val="000000"/>
                <w:kern w:val="0"/>
                <w:sz w:val="20"/>
              </w:rPr>
              <w:t>Do you think it is necessary to read the health materials promoted by the WeMedia</w:t>
            </w:r>
            <w:r>
              <w:rPr>
                <w:rFonts w:hint="eastAsia" w:ascii="Arial" w:hAnsi="Arial" w:eastAsia="宋体" w:cs="Times New Roman"/>
                <w:color w:val="000000"/>
                <w:kern w:val="0"/>
                <w:sz w:val="20"/>
                <w:lang w:val="en-US" w:eastAsia="zh-CN"/>
              </w:rPr>
              <w:t>, the</w:t>
            </w:r>
            <w:r>
              <w:rPr>
                <w:rFonts w:ascii="Arial" w:hAnsi="Arial" w:eastAsia="宋体" w:cs="Times New Roman"/>
                <w:color w:val="000000"/>
                <w:kern w:val="0"/>
                <w:sz w:val="20"/>
              </w:rPr>
              <w:t xml:space="preserve"> mobile application or online?</w:t>
            </w:r>
          </w:p>
        </w:tc>
        <w:tc>
          <w:tcPr>
            <w:tcW w:w="428"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9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51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87"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c>
          <w:tcPr>
            <w:tcW w:w="362" w:type="pct"/>
            <w:tcBorders>
              <w:tl2br w:val="nil"/>
              <w:tr2bl w:val="nil"/>
            </w:tcBorders>
            <w:shd w:val="clear" w:color="auto" w:fill="auto"/>
            <w:tcMar>
              <w:top w:w="10" w:type="dxa"/>
              <w:left w:w="10" w:type="dxa"/>
              <w:right w:w="10" w:type="dxa"/>
            </w:tcMar>
            <w:vAlign w:val="center"/>
          </w:tcPr>
          <w:p>
            <w:pPr>
              <w:widowControl/>
              <w:spacing w:line="480" w:lineRule="auto"/>
              <w:jc w:val="left"/>
              <w:textAlignment w:val="center"/>
              <w:rPr>
                <w:rFonts w:ascii="Arial" w:hAnsi="Arial" w:eastAsia="宋体" w:cs="Times New Roman"/>
                <w:color w:val="000000"/>
                <w:kern w:val="0"/>
                <w:sz w:val="20"/>
              </w:rPr>
            </w:pPr>
          </w:p>
        </w:tc>
      </w:tr>
    </w:tbl>
    <w:p>
      <w:pPr>
        <w:rPr>
          <w:rFonts w:hint="eastAsia" w:ascii="Arial" w:hAnsi="Arial" w:eastAsia="宋体" w:cs="Times New Roman"/>
          <w:color w:val="000000"/>
          <w:kern w:val="0"/>
          <w:sz w:val="20"/>
          <w:szCs w:val="22"/>
          <w:lang w:val="en-US" w:eastAsia="zh-CN"/>
        </w:rPr>
      </w:pP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BC79E1"/>
    <w:rsid w:val="24BC79E1"/>
    <w:rsid w:val="3FAD5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pPr>
      <w:spacing w:line="240" w:lineRule="auto"/>
    </w:pPr>
    <w:rPr>
      <w:sz w:val="20"/>
      <w:szCs w:val="20"/>
    </w:rPr>
  </w:style>
  <w:style w:type="character" w:styleId="5">
    <w:name w:val="annotation reference"/>
    <w:basedOn w:val="4"/>
    <w:qFormat/>
    <w:uiPriority w:val="0"/>
    <w:rPr>
      <w:sz w:val="16"/>
      <w:szCs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2021-07-14T08:04:00Z</dcterms:created>
  <dc:creator>沈健</dc:creator>
  <cp:lastModifiedBy>沈健</cp:lastModifiedBy>
  <dcterms:modified xsi:type="dcterms:W3CDTF">2021-09-22T16:40:30Z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