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43CC" w:rsidRPr="00CD7EDF" w:rsidRDefault="00BE43CC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054198" w:rsidRDefault="00054198" w:rsidP="006E2180">
      <w:pPr>
        <w:pStyle w:val="1"/>
        <w:shd w:val="clear" w:color="auto" w:fill="FFFFFF"/>
        <w:spacing w:before="0" w:after="150" w:line="390" w:lineRule="atLeast"/>
        <w:ind w:right="60"/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</w:pPr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 xml:space="preserve">Intravitreal </w:t>
      </w:r>
      <w:proofErr w:type="spellStart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>Conbercept</w:t>
      </w:r>
      <w:proofErr w:type="spellEnd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 xml:space="preserve"> combined with dexamethasone for macular edema following central retinal vein occlusion: randomized controlled trial </w:t>
      </w:r>
    </w:p>
    <w:p w:rsidR="006E2180" w:rsidRDefault="006E2180" w:rsidP="006E2180">
      <w:pPr>
        <w:pStyle w:val="1"/>
        <w:shd w:val="clear" w:color="auto" w:fill="FFFFFF"/>
        <w:spacing w:before="0" w:after="150" w:line="390" w:lineRule="atLeast"/>
        <w:ind w:right="60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222222"/>
          <w:sz w:val="20"/>
          <w:szCs w:val="20"/>
        </w:rPr>
        <w:t xml:space="preserve">Journal Name: </w:t>
      </w:r>
      <w:r w:rsidR="00054198">
        <w:rPr>
          <w:rFonts w:ascii="Times New Roman" w:hAnsi="Times New Roman" w:cs="Times New Roman"/>
          <w:bCs/>
          <w:color w:val="auto"/>
          <w:sz w:val="20"/>
          <w:szCs w:val="20"/>
        </w:rPr>
        <w:t>BMC O</w:t>
      </w:r>
      <w:r w:rsidR="00054198">
        <w:rPr>
          <w:rFonts w:ascii="Times New Roman" w:hAnsi="Times New Roman" w:cs="Times New Roman" w:hint="eastAsia"/>
          <w:bCs/>
          <w:color w:val="auto"/>
          <w:sz w:val="20"/>
          <w:szCs w:val="20"/>
          <w:lang w:eastAsia="zh-CN"/>
        </w:rPr>
        <w:t>phthalmology</w:t>
      </w:r>
      <w:bookmarkStart w:id="0" w:name="_GoBack"/>
      <w:bookmarkEnd w:id="0"/>
    </w:p>
    <w:p w:rsidR="00BE43CC" w:rsidRPr="00CD7EDF" w:rsidRDefault="00BE43CC" w:rsidP="00BE43CC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Wu Peipei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Xu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Haifeng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*, Zhang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Panpan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Feng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Chengcheng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</w:t>
      </w:r>
      <w:r w:rsidR="00983D7E" w:rsidRPr="00983D7E">
        <w:rPr>
          <w:rFonts w:ascii="Times New Roman" w:hAnsi="Times New Roman" w:cs="Times New Roman"/>
          <w:color w:val="222222"/>
          <w:sz w:val="20"/>
          <w:szCs w:val="20"/>
        </w:rPr>
        <w:t xml:space="preserve">Chu </w:t>
      </w:r>
      <w:proofErr w:type="spellStart"/>
      <w:r w:rsidR="00983D7E" w:rsidRPr="00983D7E">
        <w:rPr>
          <w:rFonts w:ascii="Times New Roman" w:hAnsi="Times New Roman" w:cs="Times New Roman"/>
          <w:color w:val="222222"/>
          <w:sz w:val="20"/>
          <w:szCs w:val="20"/>
        </w:rPr>
        <w:t>Wenjuan</w:t>
      </w:r>
      <w:r w:rsidR="00983D7E"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="00983D7E" w:rsidRPr="00983D7E">
        <w:rPr>
          <w:rFonts w:ascii="Times New Roman" w:hAnsi="Times New Roman" w:cs="Times New Roman"/>
          <w:color w:val="222222"/>
          <w:sz w:val="20"/>
          <w:szCs w:val="20"/>
        </w:rPr>
        <w:t xml:space="preserve">, Xu </w:t>
      </w:r>
      <w:proofErr w:type="spellStart"/>
      <w:r w:rsidR="00983D7E" w:rsidRPr="00983D7E">
        <w:rPr>
          <w:rFonts w:ascii="Times New Roman" w:hAnsi="Times New Roman" w:cs="Times New Roman"/>
          <w:color w:val="222222"/>
          <w:sz w:val="20"/>
          <w:szCs w:val="20"/>
        </w:rPr>
        <w:t>Jing</w:t>
      </w:r>
      <w:r w:rsidR="00983D7E"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="00983D7E">
        <w:rPr>
          <w:rFonts w:ascii="Times New Roman" w:hAnsi="Times New Roman" w:cs="Times New Roman" w:hint="eastAsia"/>
          <w:color w:val="222222"/>
          <w:sz w:val="20"/>
          <w:szCs w:val="20"/>
          <w:lang w:eastAsia="zh-CN"/>
        </w:rPr>
        <w:t xml:space="preserve">,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Li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Longfei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b</w:t>
      </w:r>
      <w:proofErr w:type="spellEnd"/>
    </w:p>
    <w:p w:rsidR="00BE43CC" w:rsidRPr="00CD7EDF" w:rsidRDefault="00BE43CC" w:rsidP="00BE43CC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 Qingdao Eye Hospital, Shandong Eye Institute, Shandong First Medical University &amp; Shandong Academy of Medical Science, Qingdao, </w:t>
      </w:r>
      <w:r w:rsidR="00054198">
        <w:rPr>
          <w:rFonts w:ascii="Times New Roman" w:hAnsi="Times New Roman" w:cs="Times New Roman"/>
          <w:color w:val="222222"/>
          <w:sz w:val="20"/>
          <w:szCs w:val="20"/>
        </w:rPr>
        <w:t>266071</w:t>
      </w:r>
      <w:r w:rsidR="00054198">
        <w:rPr>
          <w:rFonts w:ascii="Times New Roman" w:hAnsi="Times New Roman" w:cs="Times New Roman"/>
          <w:color w:val="222222"/>
          <w:sz w:val="20"/>
          <w:szCs w:val="20"/>
          <w:lang w:eastAsia="zh-CN"/>
        </w:rPr>
        <w:t xml:space="preserve">,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>China</w:t>
      </w:r>
    </w:p>
    <w:p w:rsidR="00BE43CC" w:rsidRPr="00CD7EDF" w:rsidRDefault="00BE43CC" w:rsidP="00BE43CC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b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 Shandong University of Science and Technology, Qingdao 266510, China</w:t>
      </w:r>
    </w:p>
    <w:p w:rsidR="00BE43CC" w:rsidRDefault="00BE43CC" w:rsidP="006C7BDF">
      <w:pPr>
        <w:spacing w:line="480" w:lineRule="auto"/>
        <w:rPr>
          <w:lang w:eastAsia="zh-CN"/>
        </w:rPr>
      </w:pPr>
      <w:r w:rsidRPr="00CD7EDF"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  <w:t xml:space="preserve">*Corresponding author: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Email: </w:t>
      </w:r>
      <w:hyperlink r:id="rId8" w:history="1">
        <w:r w:rsidRPr="00CD7EDF">
          <w:rPr>
            <w:rStyle w:val="ab"/>
            <w:rFonts w:ascii="Times New Roman" w:hAnsi="Times New Roman" w:cs="Times New Roman"/>
            <w:sz w:val="20"/>
            <w:szCs w:val="20"/>
          </w:rPr>
          <w:t>chxhf@126.com</w:t>
        </w:r>
      </w:hyperlink>
    </w:p>
    <w:p w:rsidR="006E2180" w:rsidRPr="00CD7EDF" w:rsidRDefault="006E2180" w:rsidP="006C7BDF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  <w:lang w:eastAsia="zh-CN"/>
        </w:rPr>
      </w:pPr>
    </w:p>
    <w:p w:rsidR="00BE43CC" w:rsidRPr="00CD7EDF" w:rsidRDefault="00BE43CC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BE43CC" w:rsidRPr="00CD7EDF" w:rsidRDefault="00BE43CC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851A8F" w:rsidRPr="00851A8F" w:rsidRDefault="005834E6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  <w:r w:rsidRPr="005834E6">
        <w:rPr>
          <w:rFonts w:ascii="Times New Roman" w:hAnsi="Times New Roman" w:cs="Times New Roman"/>
          <w:b/>
          <w:color w:val="222222"/>
          <w:sz w:val="20"/>
          <w:szCs w:val="20"/>
        </w:rPr>
        <w:t>Supplemental Digital Content 1</w:t>
      </w:r>
    </w:p>
    <w:p w:rsidR="00FE5831" w:rsidRPr="00CD7EDF" w:rsidRDefault="00FE5831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</w:p>
    <w:p w:rsidR="00241D3A" w:rsidRPr="00CD7EDF" w:rsidRDefault="001E5BD9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Be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st-corrected visual acuity (</w:t>
      </w:r>
      <w:r w:rsidR="00241D3A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BCVA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)</w:t>
      </w:r>
      <w:r w:rsidR="001118CC">
        <w:rPr>
          <w:rFonts w:ascii="Times New Roman" w:hAnsi="Times New Roman" w:cs="Times New Roman" w:hint="eastAsia"/>
          <w:color w:val="222222"/>
          <w:kern w:val="2"/>
          <w:sz w:val="20"/>
          <w:szCs w:val="20"/>
          <w:lang w:eastAsia="zh-CN"/>
        </w:rPr>
        <w:t xml:space="preserve"> </w:t>
      </w:r>
      <w:r w:rsidR="004D798D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after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the </w:t>
      </w:r>
      <w:r w:rsidR="00241D3A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first </w:t>
      </w:r>
      <w:r w:rsidR="005E64F5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three</w:t>
      </w:r>
      <w:r w:rsidR="00241D3A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</w:t>
      </w:r>
      <w:proofErr w:type="spellStart"/>
      <w:r w:rsidR="00241D3A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injections</w:t>
      </w:r>
      <w:r w:rsidR="00123BC7" w:rsidRPr="00CD7EDF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="00123BC7" w:rsidRPr="00CD7E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23BC7" w:rsidRPr="00CD7EDF">
        <w:rPr>
          <w:rFonts w:ascii="Times New Roman" w:hAnsi="Times New Roman" w:cs="Times New Roman"/>
          <w:sz w:val="20"/>
          <w:szCs w:val="20"/>
        </w:rPr>
        <w:t>conbercept</w:t>
      </w:r>
      <w:proofErr w:type="spellEnd"/>
      <w:r w:rsidR="00123BC7" w:rsidRPr="00CD7EDF">
        <w:rPr>
          <w:rFonts w:ascii="Times New Roman" w:hAnsi="Times New Roman" w:cs="Times New Roman"/>
          <w:sz w:val="20"/>
          <w:szCs w:val="20"/>
        </w:rPr>
        <w:t xml:space="preserve"> plus dexamethasone or </w:t>
      </w:r>
      <w:proofErr w:type="spellStart"/>
      <w:r w:rsidR="00123BC7" w:rsidRPr="00CD7EDF">
        <w:rPr>
          <w:rFonts w:ascii="Times New Roman" w:hAnsi="Times New Roman" w:cs="Times New Roman"/>
          <w:sz w:val="20"/>
          <w:szCs w:val="20"/>
        </w:rPr>
        <w:t>conbercept</w:t>
      </w:r>
      <w:proofErr w:type="spellEnd"/>
      <w:r w:rsidR="00123BC7" w:rsidRPr="00CD7EDF">
        <w:rPr>
          <w:rFonts w:ascii="Times New Roman" w:hAnsi="Times New Roman" w:cs="Times New Roman"/>
          <w:sz w:val="20"/>
          <w:szCs w:val="20"/>
        </w:rPr>
        <w:t xml:space="preserve"> alone for macular edema secondary to central retinal vein occlusion</w:t>
      </w:r>
    </w:p>
    <w:tbl>
      <w:tblPr>
        <w:tblW w:w="0" w:type="auto"/>
        <w:tblInd w:w="108" w:type="dxa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2268"/>
        <w:gridCol w:w="2268"/>
      </w:tblGrid>
      <w:tr w:rsidR="00241D3A" w:rsidRPr="00CD7EDF" w:rsidTr="009303C7">
        <w:trPr>
          <w:trHeight w:val="289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proofErr w:type="spellStart"/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Conbercept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proofErr w:type="spellStart"/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Conbercept+DEX</w:t>
            </w:r>
            <w:proofErr w:type="spellEnd"/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Intravitreal Injection-1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n-1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33</w:t>
            </w: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1-PRE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37.81 ± 17.63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35.85 ± 16.09</w:t>
            </w:r>
          </w:p>
        </w:tc>
      </w:tr>
      <w:tr w:rsidR="00241D3A" w:rsidRPr="00CD7EDF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 xml:space="preserve">1w-1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51.10 ± 20.58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50.03 ± 20.05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CD7EDF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 xml:space="preserve">1m-1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53.71 ± 19.84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53.64 ± 21.18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Intravitreal Injection-2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n-2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31</w:t>
            </w: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2-PRE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40.86 ± 19.15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38.09 ± 14.71</w:t>
            </w:r>
          </w:p>
        </w:tc>
      </w:tr>
      <w:tr w:rsidR="00241D3A" w:rsidRPr="00CD7EDF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1w-2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53.28 ± 18.31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50.26 ± 21.27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CD7EDF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1m-2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55.72 ± 19.72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54.09 ± 20.83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ab</w:t>
            </w:r>
          </w:p>
        </w:tc>
      </w:tr>
      <w:tr w:rsidR="00241D3A" w:rsidRPr="00CD7EDF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Intravitreal Injection-3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</w:tr>
      <w:tr w:rsidR="00241D3A" w:rsidRPr="00CD7EDF" w:rsidTr="005E64F5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n-3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24</w:t>
            </w:r>
          </w:p>
        </w:tc>
      </w:tr>
      <w:tr w:rsidR="00241D3A" w:rsidRPr="00CD7EDF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3-PRE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42.47 ± 17.43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41.08 ± 14.71</w:t>
            </w:r>
          </w:p>
        </w:tc>
      </w:tr>
      <w:tr w:rsidR="00241D3A" w:rsidRPr="00CD7EDF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1w-3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55.94 ± 16.57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55.25 ± 18.63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CD7EDF" w:rsidTr="005E64F5"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1m-3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52.35 ± 17.96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241D3A" w:rsidRPr="00CD7EDF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57.83 ± 19.76</w:t>
            </w:r>
            <w:r w:rsidRPr="00CD7EDF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</w:tbl>
    <w:p w:rsidR="00123BC7" w:rsidRPr="00CD7EDF" w:rsidRDefault="00123BC7" w:rsidP="00123BC7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*-PRE = before the * intravitreal injection; 1w-* = 1 week after the * intravitreal injection; 1m-* = 1 month after the 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lastRenderedPageBreak/>
        <w:t>* intravitreal injection</w:t>
      </w:r>
    </w:p>
    <w:p w:rsidR="00123BC7" w:rsidRPr="00CD7EDF" w:rsidRDefault="00123BC7" w:rsidP="00123BC7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The asterisk represents the number of the </w:t>
      </w:r>
      <w:r w:rsidR="0061284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intravitreal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injection (first, second, third).</w:t>
      </w:r>
    </w:p>
    <w:p w:rsidR="00241D3A" w:rsidRPr="00CD7EDF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</w:p>
    <w:p w:rsidR="00123BC7" w:rsidRPr="00CD7EDF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a: BCVA improved 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relative to the 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pre</w:t>
      </w:r>
      <w:r w:rsidR="004D798D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-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injection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value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, </w:t>
      </w:r>
      <w:r w:rsidRPr="00CD7EDF">
        <w:rPr>
          <w:rFonts w:ascii="Times New Roman" w:eastAsia="宋体" w:hAnsi="Times New Roman" w:cs="Times New Roman"/>
          <w:i/>
          <w:iCs/>
          <w:color w:val="222222"/>
          <w:kern w:val="2"/>
          <w:sz w:val="20"/>
          <w:szCs w:val="20"/>
          <w:lang w:eastAsia="zh-CN"/>
        </w:rPr>
        <w:t>P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&lt; 0.05</w:t>
      </w:r>
    </w:p>
    <w:p w:rsidR="00241D3A" w:rsidRPr="00CD7EDF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b: BCVA improved 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relative to the value at 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1 week after injection</w:t>
      </w:r>
      <w:r w:rsidR="00123BC7"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, </w:t>
      </w:r>
      <w:r w:rsidRPr="00CD7EDF">
        <w:rPr>
          <w:rFonts w:ascii="Times New Roman" w:eastAsia="宋体" w:hAnsi="Times New Roman" w:cs="Times New Roman"/>
          <w:i/>
          <w:iCs/>
          <w:color w:val="222222"/>
          <w:kern w:val="2"/>
          <w:sz w:val="20"/>
          <w:szCs w:val="20"/>
          <w:lang w:eastAsia="zh-CN"/>
        </w:rPr>
        <w:t>P</w:t>
      </w:r>
      <w:r w:rsidRPr="00CD7EDF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&lt; 0.05</w:t>
      </w:r>
    </w:p>
    <w:p w:rsidR="00241D3A" w:rsidRPr="00CD7EDF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</w:p>
    <w:p w:rsidR="00241D3A" w:rsidRPr="00CD7EDF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</w:rPr>
      </w:pPr>
    </w:p>
    <w:sectPr w:rsidR="00241D3A" w:rsidRPr="00CD7EDF" w:rsidSect="009303C7">
      <w:pgSz w:w="12242" w:h="15842" w:code="1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0200" w:rsidRDefault="00C40200" w:rsidP="007455E7">
      <w:pPr>
        <w:spacing w:after="0" w:line="240" w:lineRule="auto"/>
      </w:pPr>
      <w:r>
        <w:separator/>
      </w:r>
    </w:p>
  </w:endnote>
  <w:endnote w:type="continuationSeparator" w:id="0">
    <w:p w:rsidR="00C40200" w:rsidRDefault="00C40200" w:rsidP="007455E7">
      <w:pPr>
        <w:spacing w:after="0" w:line="240" w:lineRule="auto"/>
      </w:pPr>
      <w:r>
        <w:continuationSeparator/>
      </w:r>
    </w:p>
  </w:endnote>
  <w:endnote w:type="continuationNotice" w:id="1">
    <w:p w:rsidR="00C40200" w:rsidRDefault="00C4020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0200" w:rsidRDefault="00C40200" w:rsidP="007455E7">
      <w:pPr>
        <w:spacing w:after="0" w:line="240" w:lineRule="auto"/>
      </w:pPr>
      <w:r>
        <w:separator/>
      </w:r>
    </w:p>
  </w:footnote>
  <w:footnote w:type="continuationSeparator" w:id="0">
    <w:p w:rsidR="00C40200" w:rsidRDefault="00C40200" w:rsidP="007455E7">
      <w:pPr>
        <w:spacing w:after="0" w:line="240" w:lineRule="auto"/>
      </w:pPr>
      <w:r>
        <w:continuationSeparator/>
      </w:r>
    </w:p>
  </w:footnote>
  <w:footnote w:type="continuationNotice" w:id="1">
    <w:p w:rsidR="00C40200" w:rsidRDefault="00C4020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E3F8B"/>
    <w:multiLevelType w:val="multilevel"/>
    <w:tmpl w:val="E14A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1D6B84"/>
    <w:multiLevelType w:val="multilevel"/>
    <w:tmpl w:val="E33AB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1D3A"/>
    <w:rsid w:val="00054198"/>
    <w:rsid w:val="00063D5E"/>
    <w:rsid w:val="00077259"/>
    <w:rsid w:val="00094167"/>
    <w:rsid w:val="000D7FDF"/>
    <w:rsid w:val="001118CC"/>
    <w:rsid w:val="00123BC7"/>
    <w:rsid w:val="001E5BD9"/>
    <w:rsid w:val="00241D3A"/>
    <w:rsid w:val="002916D9"/>
    <w:rsid w:val="0029309C"/>
    <w:rsid w:val="002C050F"/>
    <w:rsid w:val="0034459A"/>
    <w:rsid w:val="00346632"/>
    <w:rsid w:val="00361DAE"/>
    <w:rsid w:val="003B0752"/>
    <w:rsid w:val="00454C02"/>
    <w:rsid w:val="0046060E"/>
    <w:rsid w:val="0046269C"/>
    <w:rsid w:val="0048110B"/>
    <w:rsid w:val="004D798D"/>
    <w:rsid w:val="005013A5"/>
    <w:rsid w:val="00546F3D"/>
    <w:rsid w:val="00582721"/>
    <w:rsid w:val="005834E6"/>
    <w:rsid w:val="005B07F4"/>
    <w:rsid w:val="005E1E55"/>
    <w:rsid w:val="005E64F5"/>
    <w:rsid w:val="00612847"/>
    <w:rsid w:val="006172D0"/>
    <w:rsid w:val="00623698"/>
    <w:rsid w:val="006A36E6"/>
    <w:rsid w:val="006C7BDF"/>
    <w:rsid w:val="006E2180"/>
    <w:rsid w:val="006E46DA"/>
    <w:rsid w:val="007139B9"/>
    <w:rsid w:val="007455E7"/>
    <w:rsid w:val="00792628"/>
    <w:rsid w:val="007D66D3"/>
    <w:rsid w:val="007E5FA6"/>
    <w:rsid w:val="00851A8F"/>
    <w:rsid w:val="008755F1"/>
    <w:rsid w:val="008C0C6F"/>
    <w:rsid w:val="008C5E37"/>
    <w:rsid w:val="008C77F0"/>
    <w:rsid w:val="00915869"/>
    <w:rsid w:val="00983D7E"/>
    <w:rsid w:val="009C0AC5"/>
    <w:rsid w:val="009F593D"/>
    <w:rsid w:val="00A10C88"/>
    <w:rsid w:val="00A46EE4"/>
    <w:rsid w:val="00A51149"/>
    <w:rsid w:val="00A82F20"/>
    <w:rsid w:val="00B049AE"/>
    <w:rsid w:val="00B075DC"/>
    <w:rsid w:val="00BE43CC"/>
    <w:rsid w:val="00C049EB"/>
    <w:rsid w:val="00C3762C"/>
    <w:rsid w:val="00C40200"/>
    <w:rsid w:val="00CD7EDF"/>
    <w:rsid w:val="00CD7F7B"/>
    <w:rsid w:val="00D01E0B"/>
    <w:rsid w:val="00D01F94"/>
    <w:rsid w:val="00DA4585"/>
    <w:rsid w:val="00E45CE8"/>
    <w:rsid w:val="00EA0CB2"/>
    <w:rsid w:val="00ED7156"/>
    <w:rsid w:val="00EE39CE"/>
    <w:rsid w:val="00F02A6D"/>
    <w:rsid w:val="00F0434E"/>
    <w:rsid w:val="00F73154"/>
    <w:rsid w:val="00FA2BF1"/>
    <w:rsid w:val="00FE5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F7F8F"/>
  <w15:docId w15:val="{D0CC8DDF-FD7B-4170-92AD-D29D29FA2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2F20"/>
  </w:style>
  <w:style w:type="paragraph" w:styleId="1">
    <w:name w:val="heading 1"/>
    <w:basedOn w:val="a"/>
    <w:next w:val="a"/>
    <w:link w:val="10"/>
    <w:uiPriority w:val="9"/>
    <w:qFormat/>
    <w:rsid w:val="00F731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link w:val="40"/>
    <w:uiPriority w:val="9"/>
    <w:qFormat/>
    <w:rsid w:val="00BE43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rsid w:val="00D01F94"/>
    <w:rPr>
      <w:sz w:val="16"/>
      <w:szCs w:val="16"/>
    </w:rPr>
  </w:style>
  <w:style w:type="paragraph" w:styleId="a4">
    <w:name w:val="annotation text"/>
    <w:basedOn w:val="a"/>
    <w:link w:val="a5"/>
    <w:unhideWhenUsed/>
    <w:rsid w:val="00D01F94"/>
    <w:pPr>
      <w:spacing w:line="240" w:lineRule="auto"/>
    </w:pPr>
    <w:rPr>
      <w:sz w:val="20"/>
      <w:szCs w:val="20"/>
    </w:rPr>
  </w:style>
  <w:style w:type="character" w:customStyle="1" w:styleId="a5">
    <w:name w:val="批注文字 字符"/>
    <w:basedOn w:val="a0"/>
    <w:link w:val="a4"/>
    <w:rsid w:val="00D01F9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01F94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D01F9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1F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01F94"/>
    <w:rPr>
      <w:rFonts w:ascii="Segoe UI" w:hAnsi="Segoe UI" w:cs="Segoe UI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6172D0"/>
    <w:rPr>
      <w:rFonts w:ascii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6172D0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745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7455E7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455E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7455E7"/>
    <w:rPr>
      <w:sz w:val="18"/>
      <w:szCs w:val="18"/>
    </w:rPr>
  </w:style>
  <w:style w:type="table" w:styleId="af0">
    <w:name w:val="Table Grid"/>
    <w:basedOn w:val="a1"/>
    <w:uiPriority w:val="59"/>
    <w:semiHidden/>
    <w:unhideWhenUsed/>
    <w:rsid w:val="00094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BE43CC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10">
    <w:name w:val="标题 1 字符"/>
    <w:basedOn w:val="a0"/>
    <w:link w:val="1"/>
    <w:uiPriority w:val="9"/>
    <w:rsid w:val="00F7315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17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17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39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xhf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AB232-39F5-4991-9575-AD7D49D83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NTKO</cp:lastModifiedBy>
  <cp:revision>16</cp:revision>
  <dcterms:created xsi:type="dcterms:W3CDTF">2019-11-16T03:19:00Z</dcterms:created>
  <dcterms:modified xsi:type="dcterms:W3CDTF">2022-01-05T13:03:00Z</dcterms:modified>
</cp:coreProperties>
</file>