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F2689D" w14:textId="77777777" w:rsidR="001140FC" w:rsidRDefault="00562325" w:rsidP="00562325">
      <w:pPr>
        <w:rPr>
          <w:rFonts w:ascii="Arial" w:hAnsi="Arial" w:cs="Arial"/>
          <w:b/>
          <w:bCs/>
          <w:sz w:val="28"/>
          <w:szCs w:val="28"/>
          <w:lang w:val="en-US"/>
        </w:rPr>
      </w:pPr>
      <w:bookmarkStart w:id="0" w:name="_Hlk43022648"/>
      <w:r w:rsidRPr="00562325">
        <w:rPr>
          <w:rFonts w:ascii="Arial" w:hAnsi="Arial" w:cs="Arial"/>
          <w:b/>
          <w:bCs/>
          <w:sz w:val="28"/>
          <w:szCs w:val="28"/>
          <w:lang w:val="en-US"/>
        </w:rPr>
        <w:t>Supplementary material</w:t>
      </w:r>
      <w:r>
        <w:rPr>
          <w:rFonts w:ascii="Arial" w:eastAsia="Times New Roman" w:hAnsi="Arial" w:cs="Arial"/>
          <w:b/>
          <w:bCs/>
          <w:sz w:val="28"/>
          <w:szCs w:val="28"/>
          <w:lang w:val="en-US"/>
        </w:rPr>
        <w:br/>
      </w:r>
    </w:p>
    <w:p w14:paraId="2DC03ADC" w14:textId="65A44BA4" w:rsidR="00562325" w:rsidRPr="001140FC" w:rsidRDefault="00562325" w:rsidP="00562325">
      <w:pPr>
        <w:rPr>
          <w:rFonts w:ascii="Arial" w:eastAsia="Times New Roman" w:hAnsi="Arial" w:cs="Arial"/>
          <w:b/>
          <w:bCs/>
          <w:sz w:val="28"/>
          <w:szCs w:val="28"/>
          <w:lang w:val="en-US"/>
        </w:rPr>
      </w:pPr>
      <w:r w:rsidRPr="00562325">
        <w:rPr>
          <w:rFonts w:ascii="Arial" w:hAnsi="Arial" w:cs="Arial"/>
          <w:b/>
          <w:bCs/>
          <w:sz w:val="28"/>
          <w:szCs w:val="28"/>
          <w:lang w:val="en-US"/>
        </w:rPr>
        <w:t>Bacterial and fungal bloodstream infections in pediatric liver and kidney transplant recipients</w:t>
      </w:r>
      <w:bookmarkStart w:id="1" w:name="_GoBack"/>
      <w:bookmarkEnd w:id="1"/>
    </w:p>
    <w:bookmarkEnd w:id="0"/>
    <w:p w14:paraId="5FC23F78" w14:textId="77777777" w:rsidR="00562325" w:rsidRPr="00F87020" w:rsidRDefault="00562325" w:rsidP="00562325">
      <w:pPr>
        <w:pStyle w:val="Default"/>
        <w:spacing w:line="480" w:lineRule="auto"/>
        <w:rPr>
          <w:rFonts w:ascii="Arial" w:hAnsi="Arial" w:cs="Arial"/>
          <w:b/>
          <w:bCs/>
          <w:lang w:val="en-US"/>
        </w:rPr>
      </w:pPr>
      <w:r w:rsidRPr="00F87020">
        <w:rPr>
          <w:rFonts w:ascii="Arial" w:hAnsi="Arial" w:cs="Arial"/>
          <w:b/>
          <w:bCs/>
          <w:lang w:val="en-US"/>
        </w:rPr>
        <w:t xml:space="preserve">Dina Leth Møller, MD </w:t>
      </w:r>
      <w:r w:rsidRPr="00F87020">
        <w:rPr>
          <w:rFonts w:ascii="Arial" w:hAnsi="Arial" w:cs="Arial"/>
          <w:b/>
          <w:bCs/>
          <w:vertAlign w:val="superscript"/>
          <w:lang w:val="en-US"/>
        </w:rPr>
        <w:t>a</w:t>
      </w:r>
      <w:r w:rsidRPr="00F87020">
        <w:rPr>
          <w:rFonts w:ascii="Arial" w:hAnsi="Arial" w:cs="Arial"/>
          <w:b/>
          <w:bCs/>
          <w:lang w:val="en-US"/>
        </w:rPr>
        <w:t xml:space="preserve">; Søren Schwartz Sørensen, MD, DMsc. </w:t>
      </w:r>
      <w:r w:rsidRPr="00F87020">
        <w:rPr>
          <w:rFonts w:ascii="Arial" w:hAnsi="Arial" w:cs="Arial"/>
          <w:b/>
          <w:bCs/>
          <w:vertAlign w:val="superscript"/>
          <w:lang w:val="en-US"/>
        </w:rPr>
        <w:t>b,c</w:t>
      </w:r>
      <w:r w:rsidRPr="00F87020">
        <w:rPr>
          <w:rFonts w:ascii="Arial" w:hAnsi="Arial" w:cs="Arial"/>
          <w:b/>
          <w:bCs/>
          <w:lang w:val="en-US"/>
        </w:rPr>
        <w:t>; Neval Ete Wareham, MD, PhD</w:t>
      </w:r>
      <w:r>
        <w:rPr>
          <w:rFonts w:ascii="Arial" w:hAnsi="Arial" w:cs="Arial"/>
          <w:b/>
          <w:bCs/>
          <w:lang w:val="en-US"/>
        </w:rPr>
        <w:t xml:space="preserve"> </w:t>
      </w:r>
      <w:r w:rsidRPr="00F87020">
        <w:rPr>
          <w:rFonts w:ascii="Arial" w:hAnsi="Arial" w:cs="Arial"/>
          <w:b/>
          <w:bCs/>
          <w:vertAlign w:val="superscript"/>
          <w:lang w:val="en-US"/>
        </w:rPr>
        <w:t>d</w:t>
      </w:r>
      <w:r w:rsidRPr="00F87020">
        <w:rPr>
          <w:rFonts w:ascii="Arial" w:hAnsi="Arial" w:cs="Arial"/>
          <w:b/>
          <w:bCs/>
          <w:lang w:val="en-US"/>
        </w:rPr>
        <w:t xml:space="preserve">; Omid Rezahosseini, MD </w:t>
      </w:r>
      <w:r w:rsidRPr="00F87020">
        <w:rPr>
          <w:rFonts w:ascii="Arial" w:hAnsi="Arial" w:cs="Arial"/>
          <w:b/>
          <w:bCs/>
          <w:vertAlign w:val="superscript"/>
          <w:lang w:val="en-US"/>
        </w:rPr>
        <w:t>a</w:t>
      </w:r>
      <w:r w:rsidRPr="00F87020">
        <w:rPr>
          <w:rFonts w:ascii="Arial" w:hAnsi="Arial" w:cs="Arial"/>
          <w:b/>
          <w:bCs/>
          <w:lang w:val="en-US"/>
        </w:rPr>
        <w:t xml:space="preserve">; Andreas Delbæk Knudsen, MD </w:t>
      </w:r>
      <w:r w:rsidRPr="00F87020">
        <w:rPr>
          <w:rFonts w:ascii="Arial" w:hAnsi="Arial" w:cs="Arial"/>
          <w:b/>
          <w:bCs/>
          <w:vertAlign w:val="superscript"/>
          <w:lang w:val="en-US"/>
        </w:rPr>
        <w:t>a,e</w:t>
      </w:r>
      <w:r w:rsidRPr="00F87020">
        <w:rPr>
          <w:rFonts w:ascii="Arial" w:hAnsi="Arial" w:cs="Arial"/>
          <w:b/>
          <w:bCs/>
          <w:lang w:val="en-US"/>
        </w:rPr>
        <w:t xml:space="preserve">;  Jenny Dahl Knudsen, MD, DMsc </w:t>
      </w:r>
      <w:r w:rsidRPr="00F87020">
        <w:rPr>
          <w:rFonts w:ascii="Arial" w:hAnsi="Arial" w:cs="Arial"/>
          <w:b/>
          <w:bCs/>
          <w:vertAlign w:val="superscript"/>
          <w:lang w:val="en-US"/>
        </w:rPr>
        <w:t>f</w:t>
      </w:r>
      <w:r w:rsidRPr="00F87020">
        <w:rPr>
          <w:rFonts w:ascii="Arial" w:hAnsi="Arial" w:cs="Arial"/>
          <w:b/>
          <w:bCs/>
          <w:lang w:val="en-US"/>
        </w:rPr>
        <w:t xml:space="preserve">; Allan Rasmussen, MD </w:t>
      </w:r>
      <w:r w:rsidRPr="00F87020">
        <w:rPr>
          <w:rFonts w:ascii="Arial" w:hAnsi="Arial" w:cs="Arial"/>
          <w:b/>
          <w:bCs/>
          <w:vertAlign w:val="superscript"/>
          <w:lang w:val="en-US"/>
        </w:rPr>
        <w:t>g</w:t>
      </w:r>
      <w:r w:rsidRPr="00F87020">
        <w:rPr>
          <w:rFonts w:ascii="Arial" w:hAnsi="Arial" w:cs="Arial"/>
          <w:b/>
          <w:bCs/>
          <w:lang w:val="en-US"/>
        </w:rPr>
        <w:t xml:space="preserve">; Susanne Dam Nielsen, MD, DMsc </w:t>
      </w:r>
      <w:r w:rsidRPr="00F87020">
        <w:rPr>
          <w:rFonts w:ascii="Arial" w:hAnsi="Arial" w:cs="Arial"/>
          <w:b/>
          <w:bCs/>
          <w:vertAlign w:val="superscript"/>
          <w:lang w:val="en-US"/>
        </w:rPr>
        <w:t>a,c *</w:t>
      </w:r>
      <w:r w:rsidRPr="00F87020">
        <w:rPr>
          <w:rFonts w:ascii="Arial" w:hAnsi="Arial" w:cs="Arial"/>
          <w:b/>
          <w:bCs/>
          <w:lang w:val="en-US"/>
        </w:rPr>
        <w:t>.</w:t>
      </w:r>
    </w:p>
    <w:p w14:paraId="3A09D4C2" w14:textId="77777777" w:rsidR="00562325" w:rsidRPr="00F87020" w:rsidRDefault="00562325" w:rsidP="00562325">
      <w:pPr>
        <w:pStyle w:val="Listeafsnit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t>Viro-immunology Research Unit, Department of Infectious Diseases, Rigshospitalet, University of Copenhagen, Copenhagen, Denmark.</w:t>
      </w:r>
    </w:p>
    <w:p w14:paraId="2633DB1D" w14:textId="77777777" w:rsidR="00562325" w:rsidRPr="006718AD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5660A0">
        <w:rPr>
          <w:rFonts w:ascii="Arial" w:hAnsi="Arial" w:cs="Arial"/>
          <w:sz w:val="24"/>
          <w:szCs w:val="24"/>
          <w:lang w:val="en-US"/>
        </w:rPr>
        <w:t>Dina.leth.moeller@regionh.dk</w:t>
      </w:r>
      <w:r>
        <w:rPr>
          <w:rFonts w:ascii="Arial" w:hAnsi="Arial" w:cs="Arial"/>
          <w:sz w:val="24"/>
          <w:szCs w:val="24"/>
          <w:lang w:val="en-US"/>
        </w:rPr>
        <w:t xml:space="preserve"> (</w:t>
      </w:r>
      <w:r w:rsidRPr="006718AD">
        <w:rPr>
          <w:rFonts w:ascii="Arial" w:hAnsi="Arial" w:cs="Arial"/>
          <w:sz w:val="24"/>
          <w:szCs w:val="24"/>
          <w:lang w:val="en-US"/>
        </w:rPr>
        <w:t xml:space="preserve">ORCID: </w:t>
      </w:r>
      <w:r w:rsidRPr="006718AD">
        <w:rPr>
          <w:rFonts w:ascii="Arial" w:hAnsi="Arial" w:cs="Arial"/>
          <w:sz w:val="24"/>
          <w:szCs w:val="24"/>
          <w:shd w:val="clear" w:color="auto" w:fill="FFFFFF"/>
          <w:lang w:val="en-US"/>
        </w:rPr>
        <w:t>0000-0002-3909-0643)</w:t>
      </w:r>
    </w:p>
    <w:p w14:paraId="2E69A9B3" w14:textId="77777777" w:rsidR="00562325" w:rsidRPr="006718AD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5660A0">
        <w:rPr>
          <w:rFonts w:ascii="Arial" w:hAnsi="Arial" w:cs="Arial"/>
          <w:sz w:val="24"/>
          <w:szCs w:val="24"/>
          <w:lang w:val="en-US"/>
        </w:rPr>
        <w:t>Omid.rezahosseini@regionh.dk</w:t>
      </w:r>
      <w:r w:rsidRPr="006718AD">
        <w:rPr>
          <w:rFonts w:ascii="Arial" w:hAnsi="Arial" w:cs="Arial"/>
          <w:sz w:val="24"/>
          <w:szCs w:val="24"/>
          <w:lang w:val="en-US"/>
        </w:rPr>
        <w:t xml:space="preserve"> (ORCID: 0000-0003-2198-1904)</w:t>
      </w:r>
    </w:p>
    <w:p w14:paraId="269FFA6A" w14:textId="77777777" w:rsidR="00562325" w:rsidRPr="006718AD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5660A0">
        <w:rPr>
          <w:rFonts w:ascii="Arial" w:hAnsi="Arial" w:cs="Arial"/>
          <w:sz w:val="24"/>
          <w:szCs w:val="24"/>
          <w:lang w:val="en-US"/>
        </w:rPr>
        <w:t>Andreas.dehlbaek.knudsen@regionh.dk</w:t>
      </w:r>
      <w:r>
        <w:rPr>
          <w:rFonts w:ascii="Arial" w:hAnsi="Arial" w:cs="Arial"/>
          <w:sz w:val="24"/>
          <w:szCs w:val="24"/>
          <w:lang w:val="en-US"/>
        </w:rPr>
        <w:t xml:space="preserve"> (</w:t>
      </w:r>
      <w:r w:rsidRPr="006718AD">
        <w:rPr>
          <w:rFonts w:ascii="Arial" w:hAnsi="Arial" w:cs="Arial"/>
          <w:sz w:val="24"/>
          <w:szCs w:val="24"/>
          <w:lang w:val="en-US"/>
        </w:rPr>
        <w:t>ORCID: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6718AD">
        <w:rPr>
          <w:rFonts w:ascii="Arial" w:hAnsi="Arial" w:cs="Arial"/>
          <w:sz w:val="24"/>
          <w:szCs w:val="24"/>
          <w:lang w:val="en-US"/>
        </w:rPr>
        <w:t>0000-0002-5349-7829)</w:t>
      </w:r>
    </w:p>
    <w:p w14:paraId="62568BCC" w14:textId="77777777" w:rsidR="00562325" w:rsidRPr="00F87020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5660A0">
        <w:rPr>
          <w:rFonts w:ascii="Arial" w:hAnsi="Arial" w:cs="Arial"/>
          <w:sz w:val="24"/>
          <w:szCs w:val="24"/>
          <w:lang w:val="en-US"/>
        </w:rPr>
        <w:t>sdn@dadlnet.dk</w:t>
      </w:r>
      <w:r>
        <w:rPr>
          <w:rFonts w:ascii="Arial" w:hAnsi="Arial" w:cs="Arial"/>
          <w:sz w:val="24"/>
          <w:szCs w:val="24"/>
          <w:lang w:val="en-US"/>
        </w:rPr>
        <w:t xml:space="preserve"> (</w:t>
      </w:r>
      <w:r w:rsidRPr="006718AD">
        <w:rPr>
          <w:rFonts w:ascii="Arial" w:hAnsi="Arial" w:cs="Arial"/>
          <w:sz w:val="24"/>
          <w:szCs w:val="24"/>
          <w:lang w:val="en-US"/>
        </w:rPr>
        <w:t xml:space="preserve">ORCID: </w:t>
      </w:r>
      <w:r w:rsidRPr="006718AD">
        <w:rPr>
          <w:rFonts w:ascii="Arial" w:hAnsi="Arial" w:cs="Arial"/>
          <w:sz w:val="24"/>
          <w:szCs w:val="24"/>
        </w:rPr>
        <w:t>0000-0001-6391-7455)</w:t>
      </w:r>
    </w:p>
    <w:p w14:paraId="2D3E0267" w14:textId="77777777" w:rsidR="00562325" w:rsidRPr="00F87020" w:rsidRDefault="00562325" w:rsidP="00562325">
      <w:pPr>
        <w:pStyle w:val="Listeafsnit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t xml:space="preserve">Department of Nephrology, Rigshospitalet, University of Copenhagen, Copenhagen, Denmark. </w:t>
      </w:r>
    </w:p>
    <w:p w14:paraId="3EEEF578" w14:textId="77777777" w:rsidR="00562325" w:rsidRPr="006718AD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5660A0">
        <w:rPr>
          <w:rFonts w:ascii="Arial" w:hAnsi="Arial" w:cs="Arial"/>
          <w:sz w:val="24"/>
          <w:szCs w:val="24"/>
          <w:lang w:val="en-US"/>
        </w:rPr>
        <w:t>Soeren.Schwartz.Soerensen@regionh.dk</w:t>
      </w:r>
      <w:r>
        <w:rPr>
          <w:rFonts w:ascii="Arial" w:hAnsi="Arial" w:cs="Arial"/>
          <w:sz w:val="24"/>
          <w:szCs w:val="24"/>
          <w:lang w:val="en-US"/>
        </w:rPr>
        <w:t xml:space="preserve"> (ORCID: </w:t>
      </w:r>
      <w:r w:rsidRPr="006718AD">
        <w:rPr>
          <w:rFonts w:ascii="Arial" w:hAnsi="Arial" w:cs="Arial"/>
          <w:sz w:val="24"/>
          <w:szCs w:val="24"/>
          <w:lang w:val="en-US"/>
        </w:rPr>
        <w:t>0000-0001-5898-8048)</w:t>
      </w:r>
    </w:p>
    <w:p w14:paraId="704BE471" w14:textId="77777777" w:rsidR="00562325" w:rsidRPr="00F87020" w:rsidRDefault="00562325" w:rsidP="00562325">
      <w:pPr>
        <w:pStyle w:val="Listeafsnit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t>Department of Clinical Medicine, University of Copenhagen, Copenhagen, Denmark.</w:t>
      </w:r>
    </w:p>
    <w:p w14:paraId="2A87B9D0" w14:textId="77777777" w:rsidR="00562325" w:rsidRPr="00F87020" w:rsidRDefault="00562325" w:rsidP="00562325">
      <w:pPr>
        <w:pStyle w:val="Listeafsnit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lastRenderedPageBreak/>
        <w:t>Centre of Excellence for Health, Immunity, and Infections, Department of Infectious Diseases, Rigshospitalet, University of Copenhagen, Copenhagen, Denmark.</w:t>
      </w:r>
      <w:r w:rsidRPr="00F87020">
        <w:rPr>
          <w:rFonts w:ascii="Arial" w:hAnsi="Arial" w:cs="Arial"/>
          <w:sz w:val="24"/>
          <w:szCs w:val="24"/>
          <w:lang w:val="en-US"/>
        </w:rPr>
        <w:br/>
      </w:r>
      <w:r w:rsidRPr="005660A0">
        <w:rPr>
          <w:rFonts w:ascii="Arial" w:hAnsi="Arial" w:cs="Arial"/>
          <w:sz w:val="24"/>
          <w:szCs w:val="24"/>
          <w:lang w:val="en-US"/>
        </w:rPr>
        <w:t>Neval.ete.wareham@regionh.dk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6718AD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 xml:space="preserve">ORCID: </w:t>
      </w:r>
      <w:r w:rsidRPr="006718AD">
        <w:rPr>
          <w:rFonts w:ascii="Arial" w:hAnsi="Arial" w:cs="Arial"/>
          <w:sz w:val="24"/>
          <w:szCs w:val="24"/>
        </w:rPr>
        <w:t>0000-0001-5746-9385)</w:t>
      </w:r>
    </w:p>
    <w:p w14:paraId="33F036A8" w14:textId="77777777" w:rsidR="00562325" w:rsidRPr="00F87020" w:rsidRDefault="00562325" w:rsidP="00562325">
      <w:pPr>
        <w:pStyle w:val="Listeafsnit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t>Department of Cardiology, Rigshospitalet, University of Copenhagen, Copenhagen, Denmark.</w:t>
      </w:r>
    </w:p>
    <w:p w14:paraId="216D998F" w14:textId="77777777" w:rsidR="00562325" w:rsidRPr="00F87020" w:rsidRDefault="00562325" w:rsidP="00562325">
      <w:pPr>
        <w:pStyle w:val="Listeafsnit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t>Department of Clinical Microbiology, Rigshospitalet, University of Copenhagen, Copenhagen, Denmark.</w:t>
      </w:r>
      <w:r w:rsidRPr="00F87020">
        <w:rPr>
          <w:rFonts w:ascii="Arial" w:hAnsi="Arial" w:cs="Arial"/>
          <w:sz w:val="24"/>
          <w:szCs w:val="24"/>
          <w:lang w:val="en-US"/>
        </w:rPr>
        <w:br/>
      </w:r>
      <w:r w:rsidRPr="005660A0">
        <w:rPr>
          <w:rFonts w:ascii="Arial" w:hAnsi="Arial" w:cs="Arial"/>
          <w:sz w:val="24"/>
          <w:szCs w:val="24"/>
          <w:lang w:val="en-US"/>
        </w:rPr>
        <w:t>Inge.Jenny.Dahl.Knudsen@regionh.dk</w:t>
      </w:r>
      <w:r>
        <w:rPr>
          <w:rFonts w:ascii="Arial" w:hAnsi="Arial" w:cs="Arial"/>
          <w:sz w:val="24"/>
          <w:szCs w:val="24"/>
          <w:lang w:val="en-US"/>
        </w:rPr>
        <w:t xml:space="preserve"> (ORCID: </w:t>
      </w:r>
      <w:r w:rsidRPr="006718AD">
        <w:rPr>
          <w:rFonts w:ascii="Arial" w:hAnsi="Arial" w:cs="Arial"/>
          <w:sz w:val="24"/>
          <w:szCs w:val="24"/>
          <w:shd w:val="clear" w:color="auto" w:fill="FFFFFF"/>
        </w:rPr>
        <w:t>0000-0002-8699-9956</w:t>
      </w:r>
      <w:r w:rsidRPr="006718AD">
        <w:rPr>
          <w:rFonts w:ascii="Arial" w:hAnsi="Arial" w:cs="Arial"/>
          <w:sz w:val="24"/>
          <w:szCs w:val="24"/>
          <w:lang w:val="en-US"/>
        </w:rPr>
        <w:t>)</w:t>
      </w:r>
    </w:p>
    <w:p w14:paraId="04A8C437" w14:textId="77777777" w:rsidR="00562325" w:rsidRPr="00F87020" w:rsidRDefault="00562325" w:rsidP="00562325">
      <w:pPr>
        <w:pStyle w:val="Listeafsnit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t>Department of Surgical Gastroenterology and Transplantation, Rigshospitalet, University of Copenhagen, Copenhagen, Denmark</w:t>
      </w:r>
    </w:p>
    <w:p w14:paraId="597C2D79" w14:textId="77777777" w:rsidR="00562325" w:rsidRPr="006718AD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5660A0">
        <w:rPr>
          <w:rFonts w:ascii="Arial" w:hAnsi="Arial" w:cs="Arial"/>
          <w:sz w:val="24"/>
          <w:szCs w:val="24"/>
          <w:lang w:val="en-US"/>
        </w:rPr>
        <w:t>Allan.Rasmussen@dadlnet.dk</w:t>
      </w:r>
      <w:r>
        <w:rPr>
          <w:rFonts w:ascii="Arial" w:hAnsi="Arial" w:cs="Arial"/>
          <w:sz w:val="24"/>
          <w:szCs w:val="24"/>
          <w:lang w:val="en-US"/>
        </w:rPr>
        <w:t xml:space="preserve"> (ORCID: </w:t>
      </w:r>
      <w:r w:rsidRPr="006718AD">
        <w:rPr>
          <w:rFonts w:ascii="Arial" w:hAnsi="Arial" w:cs="Arial"/>
          <w:sz w:val="24"/>
          <w:szCs w:val="24"/>
          <w:lang w:val="en-US"/>
        </w:rPr>
        <w:t>0000-0002-9550-4767</w:t>
      </w:r>
      <w:r w:rsidRPr="006718AD">
        <w:rPr>
          <w:lang w:val="en-US"/>
        </w:rPr>
        <w:t>)</w:t>
      </w:r>
    </w:p>
    <w:p w14:paraId="0BE95D57" w14:textId="77777777" w:rsidR="00562325" w:rsidRPr="00F87020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</w:p>
    <w:p w14:paraId="12AE990B" w14:textId="77777777" w:rsidR="00562325" w:rsidRPr="00F87020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t>* Corresponding author at: Viro-immunology Research Unit, Department of Infectious Diseases 8632, Rigshospitalet, University of Copenhagen, Copenhagen, Denmark.</w:t>
      </w:r>
    </w:p>
    <w:p w14:paraId="4F31E495" w14:textId="77777777" w:rsidR="00562325" w:rsidRPr="00F87020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t xml:space="preserve">E-mail address: </w:t>
      </w:r>
      <w:r w:rsidRPr="005660A0">
        <w:rPr>
          <w:rFonts w:ascii="Arial" w:hAnsi="Arial" w:cs="Arial"/>
          <w:sz w:val="24"/>
          <w:szCs w:val="24"/>
          <w:lang w:val="en-US"/>
        </w:rPr>
        <w:t>sdn@dadlnet.dk</w:t>
      </w:r>
      <w:r w:rsidRPr="00F87020">
        <w:rPr>
          <w:rFonts w:ascii="Arial" w:hAnsi="Arial" w:cs="Arial"/>
          <w:sz w:val="24"/>
          <w:szCs w:val="24"/>
          <w:lang w:val="en-US"/>
        </w:rPr>
        <w:t>, Phone: (+45) 35 45 0859</w:t>
      </w:r>
    </w:p>
    <w:p w14:paraId="481AFAB3" w14:textId="77777777" w:rsidR="00562325" w:rsidRPr="00F87020" w:rsidRDefault="00562325" w:rsidP="00562325">
      <w:pPr>
        <w:pStyle w:val="Listeafsnit"/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87020">
        <w:rPr>
          <w:rFonts w:ascii="Arial" w:hAnsi="Arial" w:cs="Arial"/>
          <w:sz w:val="24"/>
          <w:szCs w:val="24"/>
          <w:lang w:val="en-US"/>
        </w:rPr>
        <w:t>Postal Address: Viro-immunology Research Unit, Department of Infectious Diseases 8632, Rigshospitalet, University of Copenhagen, Blegdamsvej 9B, DK-2100 Copenhagen Ø, Denmark.</w:t>
      </w:r>
      <w:r w:rsidRPr="00F87020" w:rsidDel="007A03A7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0B08612D" w14:textId="77777777" w:rsidR="00562325" w:rsidRDefault="00562325">
      <w:pPr>
        <w:spacing w:before="0" w:after="160" w:line="259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br w:type="page"/>
      </w:r>
    </w:p>
    <w:p w14:paraId="4B0EA5ED" w14:textId="4EB8AFA1" w:rsidR="00BA4EC2" w:rsidRDefault="004C7361" w:rsidP="00BA4EC2">
      <w:pPr>
        <w:rPr>
          <w:rFonts w:ascii="Arial" w:hAnsi="Arial" w:cs="Arial"/>
          <w:i/>
          <w:iCs/>
          <w:sz w:val="24"/>
          <w:szCs w:val="24"/>
          <w:lang w:val="en-US"/>
        </w:rPr>
      </w:pPr>
      <w:r w:rsidRPr="00562325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Supplementary material</w:t>
      </w:r>
      <w:r w:rsidRPr="00562325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content </w:t>
      </w:r>
      <w:r w:rsidR="00DD589B" w:rsidRPr="00562325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BA4EC2" w:rsidRPr="00F06C5C">
        <w:rPr>
          <w:rFonts w:ascii="Arial" w:eastAsia="Times New Roman" w:hAnsi="Arial" w:cs="Arial"/>
          <w:color w:val="000000"/>
          <w:sz w:val="24"/>
          <w:szCs w:val="24"/>
          <w:lang w:val="en-US" w:eastAsia="da-DK"/>
        </w:rPr>
        <w:br/>
      </w:r>
      <w:r w:rsidR="00BA4EC2">
        <w:rPr>
          <w:rFonts w:ascii="Arial" w:hAnsi="Arial" w:cs="Arial"/>
          <w:i/>
          <w:iCs/>
          <w:sz w:val="24"/>
          <w:szCs w:val="24"/>
          <w:lang w:val="en-US"/>
        </w:rPr>
        <w:t>Immunosuppressive regimen</w:t>
      </w:r>
    </w:p>
    <w:p w14:paraId="381DAB15" w14:textId="65391EEA" w:rsidR="00BA4EC2" w:rsidRDefault="00BA4EC2" w:rsidP="00BA4EC2">
      <w:pPr>
        <w:rPr>
          <w:rFonts w:ascii="Arial" w:hAnsi="Arial" w:cs="Arial"/>
          <w:i/>
          <w:iCs/>
          <w:sz w:val="24"/>
          <w:szCs w:val="24"/>
          <w:lang w:val="en-US"/>
        </w:rPr>
      </w:pPr>
    </w:p>
    <w:p w14:paraId="5B63F27D" w14:textId="68003104" w:rsidR="00BA4EC2" w:rsidRPr="001036AE" w:rsidRDefault="00BA4EC2" w:rsidP="001036AE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The standard immunosuppressive regimen after liver and </w:t>
      </w:r>
      <w:bookmarkStart w:id="2" w:name="_Hlk53652933"/>
      <w:r>
        <w:rPr>
          <w:rFonts w:ascii="Arial" w:hAnsi="Arial" w:cs="Arial"/>
          <w:sz w:val="24"/>
          <w:szCs w:val="24"/>
          <w:lang w:val="en-US"/>
        </w:rPr>
        <w:t xml:space="preserve">combined liver and kidney </w:t>
      </w:r>
      <w:bookmarkEnd w:id="2"/>
      <w:r>
        <w:rPr>
          <w:rFonts w:ascii="Arial" w:hAnsi="Arial" w:cs="Arial"/>
          <w:sz w:val="24"/>
          <w:szCs w:val="24"/>
          <w:lang w:val="en-US"/>
        </w:rPr>
        <w:t>transplantation consisted of tacrolimus, mycophenolate mofetil (MMF), and prednisolone. The start dose of tacrolimus was 0.15 mg/kg/day administered in two doses. Target concentration were 8-10 ng/ml in the first month, 7-9 ng/ml in 2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nd</w:t>
      </w:r>
      <w:r>
        <w:rPr>
          <w:rFonts w:ascii="Arial" w:hAnsi="Arial" w:cs="Arial"/>
          <w:sz w:val="24"/>
          <w:szCs w:val="24"/>
          <w:lang w:val="en-US"/>
        </w:rPr>
        <w:t>-3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rd</w:t>
      </w:r>
      <w:r>
        <w:rPr>
          <w:rFonts w:ascii="Arial" w:hAnsi="Arial" w:cs="Arial"/>
          <w:sz w:val="24"/>
          <w:szCs w:val="24"/>
          <w:lang w:val="en-US"/>
        </w:rPr>
        <w:t xml:space="preserve"> month, 6-8 ng/ml in 3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rd</w:t>
      </w:r>
      <w:r>
        <w:rPr>
          <w:rFonts w:ascii="Arial" w:hAnsi="Arial" w:cs="Arial"/>
          <w:sz w:val="24"/>
          <w:szCs w:val="24"/>
          <w:lang w:val="en-US"/>
        </w:rPr>
        <w:t>-6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 xml:space="preserve">th </w:t>
      </w:r>
      <w:r>
        <w:rPr>
          <w:rFonts w:ascii="Arial" w:hAnsi="Arial" w:cs="Arial"/>
          <w:sz w:val="24"/>
          <w:szCs w:val="24"/>
          <w:lang w:val="en-US"/>
        </w:rPr>
        <w:t>month, 5-7 ng/ml 6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>
        <w:rPr>
          <w:rFonts w:ascii="Arial" w:hAnsi="Arial" w:cs="Arial"/>
          <w:sz w:val="24"/>
          <w:szCs w:val="24"/>
          <w:lang w:val="en-US"/>
        </w:rPr>
        <w:t>-12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>
        <w:rPr>
          <w:rFonts w:ascii="Arial" w:hAnsi="Arial" w:cs="Arial"/>
          <w:sz w:val="24"/>
          <w:szCs w:val="24"/>
          <w:lang w:val="en-US"/>
        </w:rPr>
        <w:t xml:space="preserve"> month, and 4-6 ng/ml after the first-year post-transplantation. MMF was dosed as 1200 mg/m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/day administered in two doses in the first year and 600 mg/m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/day administered in two doses afterward. 1000 mg methylprednisolone was given intraoperatively. Prednisolone was tapered gradually from 1 mg/kg twice daily on the first-day post-transplantation to 0.2 mg/kg twice daily on day 6. For the remaining of the first month 0.3 mg/kg once daily was given. This was traped to 0.2 mg/kg once daily in months 2-3, 0.1 mg/kg in month</w:t>
      </w:r>
      <w:r w:rsidR="00646AA7"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lang w:val="en-US"/>
        </w:rPr>
        <w:t xml:space="preserve"> 3-6, 0.05 mg/kg in month</w:t>
      </w:r>
      <w:r w:rsidR="00646AA7"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lang w:val="en-US"/>
        </w:rPr>
        <w:t xml:space="preserve"> 6-12 after which the drug was discontinued.  </w:t>
      </w:r>
    </w:p>
    <w:p w14:paraId="1893C1B0" w14:textId="680A4098" w:rsidR="00BA4EC2" w:rsidRDefault="00BA4EC2" w:rsidP="001036AE">
      <w:pPr>
        <w:spacing w:before="0" w:after="160" w:line="48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The standard immunosuppressive regimen in kidney transplantation consisted of induction with basiliximab </w:t>
      </w:r>
      <w:r w:rsidR="00646AA7">
        <w:rPr>
          <w:rFonts w:ascii="Arial" w:hAnsi="Arial" w:cs="Arial"/>
          <w:sz w:val="24"/>
          <w:szCs w:val="24"/>
          <w:lang w:val="en-US"/>
        </w:rPr>
        <w:t>plus</w:t>
      </w:r>
      <w:r>
        <w:rPr>
          <w:rFonts w:ascii="Arial" w:hAnsi="Arial" w:cs="Arial"/>
          <w:sz w:val="24"/>
          <w:szCs w:val="24"/>
          <w:lang w:val="en-US"/>
        </w:rPr>
        <w:t xml:space="preserve"> tacrolimus, MMF, and prednisolone. Baxilimab was administered before the transplantation and at day 4 posttransplantation. The start dose of tacrolimus was 0.1 mg/kg/day twice daily. Target concentrations were 5-10 ng/ml in the first 6 months post-transplantation and 4-7 ng/ml afterward. MMF was dosed as 450 mg/m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 twice daily.  </w:t>
      </w:r>
      <w:r w:rsidR="002C4211">
        <w:rPr>
          <w:rFonts w:ascii="Arial" w:hAnsi="Arial" w:cs="Arial"/>
          <w:sz w:val="24"/>
          <w:szCs w:val="24"/>
          <w:lang w:val="en-US"/>
        </w:rPr>
        <w:t>Prior to transplantation 10 mg/kg of p</w:t>
      </w:r>
      <w:r>
        <w:rPr>
          <w:rFonts w:ascii="Arial" w:hAnsi="Arial" w:cs="Arial"/>
          <w:sz w:val="24"/>
          <w:szCs w:val="24"/>
          <w:lang w:val="en-US"/>
        </w:rPr>
        <w:t>rednisolone was given</w:t>
      </w:r>
      <w:r w:rsidR="002C4211">
        <w:rPr>
          <w:rFonts w:ascii="Arial" w:hAnsi="Arial" w:cs="Arial"/>
          <w:sz w:val="24"/>
          <w:szCs w:val="24"/>
          <w:lang w:val="en-US"/>
        </w:rPr>
        <w:t>. P</w:t>
      </w:r>
      <w:r>
        <w:rPr>
          <w:rFonts w:ascii="Arial" w:hAnsi="Arial" w:cs="Arial"/>
          <w:sz w:val="24"/>
          <w:szCs w:val="24"/>
          <w:lang w:val="en-US"/>
        </w:rPr>
        <w:t>rednisolone was tapered gradually from 1</w:t>
      </w:r>
      <w:r w:rsidR="002C4211">
        <w:rPr>
          <w:rFonts w:ascii="Arial" w:hAnsi="Arial" w:cs="Arial"/>
          <w:sz w:val="24"/>
          <w:szCs w:val="24"/>
          <w:lang w:val="en-US"/>
        </w:rPr>
        <w:t>,5</w:t>
      </w:r>
      <w:r>
        <w:rPr>
          <w:rFonts w:ascii="Arial" w:hAnsi="Arial" w:cs="Arial"/>
          <w:sz w:val="24"/>
          <w:szCs w:val="24"/>
          <w:lang w:val="en-US"/>
        </w:rPr>
        <w:t xml:space="preserve"> mg/kg</w:t>
      </w:r>
      <w:r w:rsidR="002C4211">
        <w:rPr>
          <w:rFonts w:ascii="Arial" w:hAnsi="Arial" w:cs="Arial"/>
          <w:sz w:val="24"/>
          <w:szCs w:val="24"/>
          <w:lang w:val="en-US"/>
        </w:rPr>
        <w:t>/day in two doses on</w:t>
      </w:r>
      <w:r>
        <w:rPr>
          <w:rFonts w:ascii="Arial" w:hAnsi="Arial" w:cs="Arial"/>
          <w:sz w:val="24"/>
          <w:szCs w:val="24"/>
          <w:lang w:val="en-US"/>
        </w:rPr>
        <w:t xml:space="preserve"> the first-day post-</w:t>
      </w:r>
      <w:r>
        <w:rPr>
          <w:rFonts w:ascii="Arial" w:hAnsi="Arial" w:cs="Arial"/>
          <w:sz w:val="24"/>
          <w:szCs w:val="24"/>
          <w:lang w:val="en-US"/>
        </w:rPr>
        <w:lastRenderedPageBreak/>
        <w:t xml:space="preserve">transplantation to </w:t>
      </w:r>
      <w:r w:rsidR="002C4211">
        <w:rPr>
          <w:rFonts w:ascii="Arial" w:hAnsi="Arial" w:cs="Arial"/>
          <w:sz w:val="24"/>
          <w:szCs w:val="24"/>
          <w:lang w:val="en-US"/>
        </w:rPr>
        <w:t>1</w:t>
      </w:r>
      <w:r>
        <w:rPr>
          <w:rFonts w:ascii="Arial" w:hAnsi="Arial" w:cs="Arial"/>
          <w:sz w:val="24"/>
          <w:szCs w:val="24"/>
          <w:lang w:val="en-US"/>
        </w:rPr>
        <w:t xml:space="preserve"> mg/kg </w:t>
      </w:r>
      <w:r w:rsidR="002C4211">
        <w:rPr>
          <w:rFonts w:ascii="Arial" w:hAnsi="Arial" w:cs="Arial"/>
          <w:sz w:val="24"/>
          <w:szCs w:val="24"/>
          <w:lang w:val="en-US"/>
        </w:rPr>
        <w:t xml:space="preserve">in two doses </w:t>
      </w:r>
      <w:r>
        <w:rPr>
          <w:rFonts w:ascii="Arial" w:hAnsi="Arial" w:cs="Arial"/>
          <w:sz w:val="24"/>
          <w:szCs w:val="24"/>
          <w:lang w:val="en-US"/>
        </w:rPr>
        <w:t xml:space="preserve">on day </w:t>
      </w:r>
      <w:r w:rsidR="002C4211">
        <w:rPr>
          <w:rFonts w:ascii="Arial" w:hAnsi="Arial" w:cs="Arial"/>
          <w:sz w:val="24"/>
          <w:szCs w:val="24"/>
          <w:lang w:val="en-US"/>
        </w:rPr>
        <w:t>7</w:t>
      </w:r>
      <w:r>
        <w:rPr>
          <w:rFonts w:ascii="Arial" w:hAnsi="Arial" w:cs="Arial"/>
          <w:sz w:val="24"/>
          <w:szCs w:val="24"/>
          <w:lang w:val="en-US"/>
        </w:rPr>
        <w:t>. For the remaining of the first month 0.</w:t>
      </w:r>
      <w:r w:rsidR="002C4211">
        <w:rPr>
          <w:rFonts w:ascii="Arial" w:hAnsi="Arial" w:cs="Arial"/>
          <w:sz w:val="24"/>
          <w:szCs w:val="24"/>
          <w:lang w:val="en-US"/>
        </w:rPr>
        <w:t>6</w:t>
      </w:r>
      <w:r>
        <w:rPr>
          <w:rFonts w:ascii="Arial" w:hAnsi="Arial" w:cs="Arial"/>
          <w:sz w:val="24"/>
          <w:szCs w:val="24"/>
          <w:lang w:val="en-US"/>
        </w:rPr>
        <w:t xml:space="preserve"> mg/kg</w:t>
      </w:r>
      <w:r w:rsidR="002C4211">
        <w:rPr>
          <w:rFonts w:ascii="Arial" w:hAnsi="Arial" w:cs="Arial"/>
          <w:sz w:val="24"/>
          <w:szCs w:val="24"/>
          <w:lang w:val="en-US"/>
        </w:rPr>
        <w:t>/day</w:t>
      </w:r>
      <w:r>
        <w:rPr>
          <w:rFonts w:ascii="Arial" w:hAnsi="Arial" w:cs="Arial"/>
          <w:sz w:val="24"/>
          <w:szCs w:val="24"/>
          <w:lang w:val="en-US"/>
        </w:rPr>
        <w:t xml:space="preserve"> was given. This was traped to 0.</w:t>
      </w:r>
      <w:r w:rsidR="002C4211">
        <w:rPr>
          <w:rFonts w:ascii="Arial" w:hAnsi="Arial" w:cs="Arial"/>
          <w:sz w:val="24"/>
          <w:szCs w:val="24"/>
          <w:lang w:val="en-US"/>
        </w:rPr>
        <w:t>4</w:t>
      </w:r>
      <w:r>
        <w:rPr>
          <w:rFonts w:ascii="Arial" w:hAnsi="Arial" w:cs="Arial"/>
          <w:sz w:val="24"/>
          <w:szCs w:val="24"/>
          <w:lang w:val="en-US"/>
        </w:rPr>
        <w:t xml:space="preserve"> mg/kg</w:t>
      </w:r>
      <w:r w:rsidR="002C4211">
        <w:rPr>
          <w:rFonts w:ascii="Arial" w:hAnsi="Arial" w:cs="Arial"/>
          <w:sz w:val="24"/>
          <w:szCs w:val="24"/>
          <w:lang w:val="en-US"/>
        </w:rPr>
        <w:t>/day in month 2, 0.3 mg/kg/day in month 3</w:t>
      </w:r>
      <w:r>
        <w:rPr>
          <w:rFonts w:ascii="Arial" w:hAnsi="Arial" w:cs="Arial"/>
          <w:sz w:val="24"/>
          <w:szCs w:val="24"/>
          <w:lang w:val="en-US"/>
        </w:rPr>
        <w:t>, 0.</w:t>
      </w:r>
      <w:r w:rsidR="002C4211">
        <w:rPr>
          <w:rFonts w:ascii="Arial" w:hAnsi="Arial" w:cs="Arial"/>
          <w:sz w:val="24"/>
          <w:szCs w:val="24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 mg/kg</w:t>
      </w:r>
      <w:r w:rsidR="002C4211">
        <w:rPr>
          <w:rFonts w:ascii="Arial" w:hAnsi="Arial" w:cs="Arial"/>
          <w:sz w:val="24"/>
          <w:szCs w:val="24"/>
          <w:lang w:val="en-US"/>
        </w:rPr>
        <w:t>/day</w:t>
      </w:r>
      <w:r>
        <w:rPr>
          <w:rFonts w:ascii="Arial" w:hAnsi="Arial" w:cs="Arial"/>
          <w:sz w:val="24"/>
          <w:szCs w:val="24"/>
          <w:lang w:val="en-US"/>
        </w:rPr>
        <w:t xml:space="preserve"> in month </w:t>
      </w:r>
      <w:r w:rsidR="002C4211">
        <w:rPr>
          <w:rFonts w:ascii="Arial" w:hAnsi="Arial" w:cs="Arial"/>
          <w:sz w:val="24"/>
          <w:szCs w:val="24"/>
          <w:lang w:val="en-US"/>
        </w:rPr>
        <w:t>4</w:t>
      </w:r>
      <w:r>
        <w:rPr>
          <w:rFonts w:ascii="Arial" w:hAnsi="Arial" w:cs="Arial"/>
          <w:sz w:val="24"/>
          <w:szCs w:val="24"/>
          <w:lang w:val="en-US"/>
        </w:rPr>
        <w:t>-6, 0.</w:t>
      </w:r>
      <w:r w:rsidR="002C4211">
        <w:rPr>
          <w:rFonts w:ascii="Arial" w:hAnsi="Arial" w:cs="Arial"/>
          <w:sz w:val="24"/>
          <w:szCs w:val="24"/>
          <w:lang w:val="en-US"/>
        </w:rPr>
        <w:t>15-0.2</w:t>
      </w:r>
      <w:r>
        <w:rPr>
          <w:rFonts w:ascii="Arial" w:hAnsi="Arial" w:cs="Arial"/>
          <w:sz w:val="24"/>
          <w:szCs w:val="24"/>
          <w:lang w:val="en-US"/>
        </w:rPr>
        <w:t xml:space="preserve"> mg/kg</w:t>
      </w:r>
      <w:r w:rsidR="003A5A47">
        <w:rPr>
          <w:rFonts w:ascii="Arial" w:hAnsi="Arial" w:cs="Arial"/>
          <w:sz w:val="24"/>
          <w:szCs w:val="24"/>
          <w:lang w:val="en-US"/>
        </w:rPr>
        <w:t>/</w:t>
      </w:r>
      <w:r w:rsidR="002C4211">
        <w:rPr>
          <w:rFonts w:ascii="Arial" w:hAnsi="Arial" w:cs="Arial"/>
          <w:sz w:val="24"/>
          <w:szCs w:val="24"/>
          <w:lang w:val="en-US"/>
        </w:rPr>
        <w:t>day afterward.</w:t>
      </w:r>
      <w:r>
        <w:rPr>
          <w:rFonts w:ascii="Arial" w:hAnsi="Arial" w:cs="Arial"/>
          <w:sz w:val="24"/>
          <w:szCs w:val="24"/>
          <w:lang w:val="en-US"/>
        </w:rPr>
        <w:t xml:space="preserve">  </w:t>
      </w:r>
    </w:p>
    <w:p w14:paraId="27CAEB39" w14:textId="77777777" w:rsidR="00BA4EC2" w:rsidRDefault="00BA4EC2">
      <w:pPr>
        <w:spacing w:before="0" w:after="160" w:line="259" w:lineRule="auto"/>
        <w:rPr>
          <w:rFonts w:ascii="Arial" w:hAnsi="Arial" w:cs="Arial"/>
          <w:sz w:val="24"/>
          <w:szCs w:val="24"/>
          <w:lang w:val="en-US"/>
        </w:rPr>
      </w:pPr>
    </w:p>
    <w:p w14:paraId="2D87BF5E" w14:textId="23876BB7" w:rsidR="00BA4EC2" w:rsidRDefault="00BA4EC2">
      <w:pPr>
        <w:spacing w:before="0" w:after="160" w:line="259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br w:type="page"/>
      </w:r>
    </w:p>
    <w:p w14:paraId="1B15591F" w14:textId="4B192F10" w:rsidR="00CF5E6C" w:rsidRPr="008A3412" w:rsidRDefault="004C7361" w:rsidP="00CF5E6C">
      <w:pPr>
        <w:rPr>
          <w:rFonts w:ascii="Arial" w:hAnsi="Arial" w:cs="Arial"/>
          <w:i/>
          <w:iCs/>
          <w:sz w:val="24"/>
          <w:szCs w:val="24"/>
          <w:lang w:val="en-US"/>
        </w:rPr>
      </w:pPr>
      <w:r w:rsidRPr="00562325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Supplementary material</w:t>
      </w:r>
      <w:r w:rsidRPr="00562325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content </w:t>
      </w:r>
      <w:r w:rsidR="00BA4EC2" w:rsidRPr="00562325">
        <w:rPr>
          <w:rFonts w:ascii="Arial" w:hAnsi="Arial" w:cs="Arial"/>
          <w:b/>
          <w:bCs/>
          <w:sz w:val="24"/>
          <w:szCs w:val="24"/>
          <w:lang w:val="en-US"/>
        </w:rPr>
        <w:t>2</w:t>
      </w:r>
      <w:r w:rsidR="008309A6" w:rsidRPr="00562325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8309A6" w:rsidRPr="00FC1548">
        <w:rPr>
          <w:rFonts w:ascii="Arial" w:hAnsi="Arial" w:cs="Arial"/>
          <w:sz w:val="24"/>
          <w:szCs w:val="24"/>
          <w:lang w:val="en-US"/>
        </w:rPr>
        <w:t xml:space="preserve"> </w:t>
      </w:r>
      <w:r w:rsidR="00CF5E6C" w:rsidRPr="00F06C5C">
        <w:rPr>
          <w:rFonts w:ascii="Arial" w:eastAsia="Times New Roman" w:hAnsi="Arial" w:cs="Arial"/>
          <w:color w:val="000000"/>
          <w:sz w:val="24"/>
          <w:szCs w:val="24"/>
          <w:lang w:val="en-US" w:eastAsia="da-DK"/>
        </w:rPr>
        <w:br/>
      </w:r>
      <w:r w:rsidR="00CF5E6C" w:rsidRPr="00F06C5C">
        <w:rPr>
          <w:rFonts w:ascii="Arial" w:hAnsi="Arial" w:cs="Arial"/>
          <w:i/>
          <w:iCs/>
          <w:sz w:val="24"/>
          <w:szCs w:val="24"/>
          <w:lang w:val="en-US"/>
        </w:rPr>
        <w:t xml:space="preserve">Antibiotic resistance profiles for </w:t>
      </w:r>
      <w:r w:rsidR="00CF5E6C" w:rsidRPr="00F06C5C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da-DK"/>
        </w:rPr>
        <w:t>bacterial bloodstream infections</w:t>
      </w:r>
    </w:p>
    <w:tbl>
      <w:tblPr>
        <w:tblStyle w:val="Tabel-Tema"/>
        <w:tblW w:w="13670" w:type="dxa"/>
        <w:tblLayout w:type="fixed"/>
        <w:tblLook w:val="04A0" w:firstRow="1" w:lastRow="0" w:firstColumn="1" w:lastColumn="0" w:noHBand="0" w:noVBand="1"/>
      </w:tblPr>
      <w:tblGrid>
        <w:gridCol w:w="1579"/>
        <w:gridCol w:w="2577"/>
        <w:gridCol w:w="1586"/>
        <w:gridCol w:w="793"/>
        <w:gridCol w:w="1077"/>
        <w:gridCol w:w="707"/>
        <w:gridCol w:w="793"/>
        <w:gridCol w:w="793"/>
        <w:gridCol w:w="1387"/>
        <w:gridCol w:w="991"/>
        <w:gridCol w:w="635"/>
        <w:gridCol w:w="752"/>
      </w:tblGrid>
      <w:tr w:rsidR="00CF5E6C" w:rsidRPr="00F06C5C" w14:paraId="48B03B25" w14:textId="77777777" w:rsidTr="00CF5E6C">
        <w:trPr>
          <w:cantSplit/>
          <w:trHeight w:val="2414"/>
        </w:trPr>
        <w:tc>
          <w:tcPr>
            <w:tcW w:w="1579" w:type="dxa"/>
            <w:noWrap/>
            <w:hideMark/>
          </w:tcPr>
          <w:p w14:paraId="1D08C48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Patient no.</w:t>
            </w:r>
          </w:p>
        </w:tc>
        <w:tc>
          <w:tcPr>
            <w:tcW w:w="2577" w:type="dxa"/>
            <w:noWrap/>
            <w:hideMark/>
          </w:tcPr>
          <w:p w14:paraId="7467D604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Pathogen</w:t>
            </w:r>
          </w:p>
        </w:tc>
        <w:tc>
          <w:tcPr>
            <w:tcW w:w="1586" w:type="dxa"/>
            <w:noWrap/>
            <w:hideMark/>
          </w:tcPr>
          <w:p w14:paraId="4E8A3E08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a-DK"/>
              </w:rPr>
              <w:t>Time from transplantation to BSI in days</w:t>
            </w:r>
          </w:p>
        </w:tc>
        <w:tc>
          <w:tcPr>
            <w:tcW w:w="793" w:type="dxa"/>
            <w:noWrap/>
            <w:textDirection w:val="btLr"/>
            <w:vAlign w:val="center"/>
            <w:hideMark/>
          </w:tcPr>
          <w:p w14:paraId="287A8602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Penicillin</w:t>
            </w:r>
          </w:p>
        </w:tc>
        <w:tc>
          <w:tcPr>
            <w:tcW w:w="1077" w:type="dxa"/>
            <w:noWrap/>
            <w:textDirection w:val="btLr"/>
            <w:vAlign w:val="center"/>
            <w:hideMark/>
          </w:tcPr>
          <w:p w14:paraId="7F73D10A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Piperacillin/ Tazobactam</w:t>
            </w:r>
          </w:p>
        </w:tc>
        <w:tc>
          <w:tcPr>
            <w:tcW w:w="707" w:type="dxa"/>
            <w:noWrap/>
            <w:textDirection w:val="btLr"/>
            <w:vAlign w:val="center"/>
            <w:hideMark/>
          </w:tcPr>
          <w:p w14:paraId="1927766E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Cefuroxime</w:t>
            </w:r>
          </w:p>
        </w:tc>
        <w:tc>
          <w:tcPr>
            <w:tcW w:w="793" w:type="dxa"/>
            <w:noWrap/>
            <w:textDirection w:val="btLr"/>
            <w:vAlign w:val="center"/>
            <w:hideMark/>
          </w:tcPr>
          <w:p w14:paraId="19F70EF0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Ceftriaxone</w:t>
            </w:r>
          </w:p>
        </w:tc>
        <w:tc>
          <w:tcPr>
            <w:tcW w:w="793" w:type="dxa"/>
            <w:noWrap/>
            <w:textDirection w:val="btLr"/>
            <w:vAlign w:val="center"/>
            <w:hideMark/>
          </w:tcPr>
          <w:p w14:paraId="3604D0C6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Meropenem</w:t>
            </w:r>
          </w:p>
        </w:tc>
        <w:tc>
          <w:tcPr>
            <w:tcW w:w="1387" w:type="dxa"/>
            <w:noWrap/>
            <w:textDirection w:val="btLr"/>
            <w:vAlign w:val="center"/>
            <w:hideMark/>
          </w:tcPr>
          <w:p w14:paraId="71CA0F9F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Fluoroquinolones (Ciprofloxacin and Moxifloxacin)</w:t>
            </w:r>
          </w:p>
        </w:tc>
        <w:tc>
          <w:tcPr>
            <w:tcW w:w="991" w:type="dxa"/>
            <w:noWrap/>
            <w:textDirection w:val="btLr"/>
            <w:vAlign w:val="center"/>
            <w:hideMark/>
          </w:tcPr>
          <w:p w14:paraId="6FC642D7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Trimethoprim/ Sulfamethoxazole</w:t>
            </w:r>
          </w:p>
        </w:tc>
        <w:tc>
          <w:tcPr>
            <w:tcW w:w="635" w:type="dxa"/>
            <w:noWrap/>
            <w:textDirection w:val="btLr"/>
            <w:vAlign w:val="center"/>
            <w:hideMark/>
          </w:tcPr>
          <w:p w14:paraId="23FF2A84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Vancomycin</w:t>
            </w:r>
          </w:p>
        </w:tc>
        <w:tc>
          <w:tcPr>
            <w:tcW w:w="752" w:type="dxa"/>
            <w:noWrap/>
            <w:textDirection w:val="btLr"/>
            <w:vAlign w:val="center"/>
            <w:hideMark/>
          </w:tcPr>
          <w:p w14:paraId="0F0EDFE6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Linezolid</w:t>
            </w:r>
          </w:p>
        </w:tc>
      </w:tr>
      <w:tr w:rsidR="00CF5E6C" w:rsidRPr="00F06C5C" w14:paraId="099EA1D3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2BD9C3F3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</w:t>
            </w:r>
          </w:p>
        </w:tc>
        <w:tc>
          <w:tcPr>
            <w:tcW w:w="2577" w:type="dxa"/>
            <w:noWrap/>
            <w:hideMark/>
          </w:tcPr>
          <w:p w14:paraId="5C3EFC0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Chryseobacterium species</w:t>
            </w:r>
          </w:p>
        </w:tc>
        <w:tc>
          <w:tcPr>
            <w:tcW w:w="1586" w:type="dxa"/>
            <w:noWrap/>
            <w:hideMark/>
          </w:tcPr>
          <w:p w14:paraId="7757353D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107</w:t>
            </w:r>
          </w:p>
        </w:tc>
        <w:tc>
          <w:tcPr>
            <w:tcW w:w="793" w:type="dxa"/>
            <w:noWrap/>
            <w:vAlign w:val="center"/>
            <w:hideMark/>
          </w:tcPr>
          <w:p w14:paraId="67A254C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599C2F3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57CB21C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26DC756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72902E7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2054048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523E221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34AE493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1D3B5E5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5D9B175F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25B2BEF2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2</w:t>
            </w:r>
          </w:p>
        </w:tc>
        <w:tc>
          <w:tcPr>
            <w:tcW w:w="2577" w:type="dxa"/>
            <w:noWrap/>
            <w:hideMark/>
          </w:tcPr>
          <w:p w14:paraId="55541298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Citrobacter freundii</w:t>
            </w:r>
          </w:p>
        </w:tc>
        <w:tc>
          <w:tcPr>
            <w:tcW w:w="1586" w:type="dxa"/>
            <w:noWrap/>
            <w:hideMark/>
          </w:tcPr>
          <w:p w14:paraId="155A3267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112</w:t>
            </w:r>
          </w:p>
        </w:tc>
        <w:tc>
          <w:tcPr>
            <w:tcW w:w="793" w:type="dxa"/>
            <w:noWrap/>
            <w:vAlign w:val="center"/>
            <w:hideMark/>
          </w:tcPr>
          <w:p w14:paraId="404C637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4D8FF7F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27277EC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3136F11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I</w:t>
            </w:r>
          </w:p>
        </w:tc>
        <w:tc>
          <w:tcPr>
            <w:tcW w:w="793" w:type="dxa"/>
            <w:noWrap/>
            <w:vAlign w:val="center"/>
            <w:hideMark/>
          </w:tcPr>
          <w:p w14:paraId="23CC72B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7559FBD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181F891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0CDB793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5AC5495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1CD0C28A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21DC7B0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3</w:t>
            </w:r>
          </w:p>
        </w:tc>
        <w:tc>
          <w:tcPr>
            <w:tcW w:w="2577" w:type="dxa"/>
            <w:noWrap/>
            <w:hideMark/>
          </w:tcPr>
          <w:p w14:paraId="22682AB0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Citrobacter freundii</w:t>
            </w:r>
          </w:p>
        </w:tc>
        <w:tc>
          <w:tcPr>
            <w:tcW w:w="1586" w:type="dxa"/>
            <w:noWrap/>
            <w:hideMark/>
          </w:tcPr>
          <w:p w14:paraId="113A5A70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416</w:t>
            </w:r>
          </w:p>
        </w:tc>
        <w:tc>
          <w:tcPr>
            <w:tcW w:w="793" w:type="dxa"/>
            <w:noWrap/>
            <w:vAlign w:val="center"/>
            <w:hideMark/>
          </w:tcPr>
          <w:p w14:paraId="06AC2C8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163495C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7A62B44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37AA0DF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I</w:t>
            </w:r>
          </w:p>
        </w:tc>
        <w:tc>
          <w:tcPr>
            <w:tcW w:w="793" w:type="dxa"/>
            <w:noWrap/>
            <w:vAlign w:val="center"/>
            <w:hideMark/>
          </w:tcPr>
          <w:p w14:paraId="11E6630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4E7189B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74BBFAB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635" w:type="dxa"/>
            <w:noWrap/>
            <w:vAlign w:val="center"/>
            <w:hideMark/>
          </w:tcPr>
          <w:p w14:paraId="6A8EB0F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7F272C0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687DD011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0FC3F264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4</w:t>
            </w:r>
          </w:p>
        </w:tc>
        <w:tc>
          <w:tcPr>
            <w:tcW w:w="2577" w:type="dxa"/>
            <w:noWrap/>
            <w:hideMark/>
          </w:tcPr>
          <w:p w14:paraId="6B369A07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Clostridium perfringens</w:t>
            </w:r>
          </w:p>
        </w:tc>
        <w:tc>
          <w:tcPr>
            <w:tcW w:w="1586" w:type="dxa"/>
            <w:noWrap/>
            <w:hideMark/>
          </w:tcPr>
          <w:p w14:paraId="28BFE51F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1225</w:t>
            </w:r>
          </w:p>
        </w:tc>
        <w:tc>
          <w:tcPr>
            <w:tcW w:w="793" w:type="dxa"/>
            <w:noWrap/>
            <w:vAlign w:val="center"/>
            <w:hideMark/>
          </w:tcPr>
          <w:p w14:paraId="64C5A35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077" w:type="dxa"/>
            <w:noWrap/>
            <w:vAlign w:val="center"/>
            <w:hideMark/>
          </w:tcPr>
          <w:p w14:paraId="0D18FD1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07" w:type="dxa"/>
            <w:noWrap/>
            <w:vAlign w:val="center"/>
            <w:hideMark/>
          </w:tcPr>
          <w:p w14:paraId="12B2B1E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6C5EB9A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0904853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387" w:type="dxa"/>
            <w:noWrap/>
            <w:vAlign w:val="center"/>
            <w:hideMark/>
          </w:tcPr>
          <w:p w14:paraId="0D76A70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991" w:type="dxa"/>
            <w:noWrap/>
            <w:vAlign w:val="center"/>
            <w:hideMark/>
          </w:tcPr>
          <w:p w14:paraId="1BF3A06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6C5D3A8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4F9A2B5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4A6A9012" w14:textId="77777777" w:rsidTr="00CF5E6C">
        <w:trPr>
          <w:trHeight w:val="324"/>
        </w:trPr>
        <w:tc>
          <w:tcPr>
            <w:tcW w:w="1579" w:type="dxa"/>
            <w:noWrap/>
            <w:hideMark/>
          </w:tcPr>
          <w:p w14:paraId="3DA41B1B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</w:t>
            </w:r>
          </w:p>
        </w:tc>
        <w:tc>
          <w:tcPr>
            <w:tcW w:w="2577" w:type="dxa"/>
            <w:noWrap/>
            <w:hideMark/>
          </w:tcPr>
          <w:p w14:paraId="5BB0A91B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Delftia acidovorans</w:t>
            </w:r>
          </w:p>
        </w:tc>
        <w:tc>
          <w:tcPr>
            <w:tcW w:w="1586" w:type="dxa"/>
            <w:noWrap/>
            <w:hideMark/>
          </w:tcPr>
          <w:p w14:paraId="235469E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107</w:t>
            </w:r>
          </w:p>
        </w:tc>
        <w:tc>
          <w:tcPr>
            <w:tcW w:w="793" w:type="dxa"/>
            <w:noWrap/>
            <w:vAlign w:val="center"/>
            <w:hideMark/>
          </w:tcPr>
          <w:p w14:paraId="786F3E0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5EAC339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0F45058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65F29AD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272AC87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2F58D34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7DADE2B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12DE9E5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016CEA7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3B950F0B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7525E40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5</w:t>
            </w:r>
          </w:p>
        </w:tc>
        <w:tc>
          <w:tcPr>
            <w:tcW w:w="2577" w:type="dxa"/>
            <w:noWrap/>
            <w:hideMark/>
          </w:tcPr>
          <w:p w14:paraId="49A9852F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Enterobacter cloacae</w:t>
            </w:r>
          </w:p>
        </w:tc>
        <w:tc>
          <w:tcPr>
            <w:tcW w:w="1586" w:type="dxa"/>
            <w:noWrap/>
            <w:hideMark/>
          </w:tcPr>
          <w:p w14:paraId="07672F2C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128</w:t>
            </w:r>
          </w:p>
        </w:tc>
        <w:tc>
          <w:tcPr>
            <w:tcW w:w="793" w:type="dxa"/>
            <w:noWrap/>
            <w:vAlign w:val="center"/>
            <w:hideMark/>
          </w:tcPr>
          <w:p w14:paraId="1C896F5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077" w:type="dxa"/>
            <w:noWrap/>
            <w:vAlign w:val="center"/>
            <w:hideMark/>
          </w:tcPr>
          <w:p w14:paraId="5F80697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I</w:t>
            </w:r>
          </w:p>
        </w:tc>
        <w:tc>
          <w:tcPr>
            <w:tcW w:w="707" w:type="dxa"/>
            <w:noWrap/>
            <w:vAlign w:val="center"/>
            <w:hideMark/>
          </w:tcPr>
          <w:p w14:paraId="5C59E6E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I</w:t>
            </w:r>
          </w:p>
        </w:tc>
        <w:tc>
          <w:tcPr>
            <w:tcW w:w="793" w:type="dxa"/>
            <w:noWrap/>
            <w:vAlign w:val="center"/>
            <w:hideMark/>
          </w:tcPr>
          <w:p w14:paraId="7FFCC18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I</w:t>
            </w:r>
          </w:p>
        </w:tc>
        <w:tc>
          <w:tcPr>
            <w:tcW w:w="793" w:type="dxa"/>
            <w:noWrap/>
            <w:vAlign w:val="center"/>
            <w:hideMark/>
          </w:tcPr>
          <w:p w14:paraId="1E99310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75FBDE3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5A88048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635" w:type="dxa"/>
            <w:noWrap/>
            <w:vAlign w:val="center"/>
            <w:hideMark/>
          </w:tcPr>
          <w:p w14:paraId="2F2252E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52D474E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1485B0A9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606EE60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6</w:t>
            </w:r>
          </w:p>
        </w:tc>
        <w:tc>
          <w:tcPr>
            <w:tcW w:w="2577" w:type="dxa"/>
            <w:noWrap/>
            <w:hideMark/>
          </w:tcPr>
          <w:p w14:paraId="197B4388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Enterobacter cloacae</w:t>
            </w:r>
          </w:p>
        </w:tc>
        <w:tc>
          <w:tcPr>
            <w:tcW w:w="1586" w:type="dxa"/>
            <w:noWrap/>
            <w:hideMark/>
          </w:tcPr>
          <w:p w14:paraId="28DA7998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11</w:t>
            </w:r>
          </w:p>
        </w:tc>
        <w:tc>
          <w:tcPr>
            <w:tcW w:w="793" w:type="dxa"/>
            <w:noWrap/>
            <w:vAlign w:val="center"/>
            <w:hideMark/>
          </w:tcPr>
          <w:p w14:paraId="6077971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66ECCD4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258D3C1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364844B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I</w:t>
            </w:r>
          </w:p>
        </w:tc>
        <w:tc>
          <w:tcPr>
            <w:tcW w:w="793" w:type="dxa"/>
            <w:noWrap/>
            <w:vAlign w:val="center"/>
            <w:hideMark/>
          </w:tcPr>
          <w:p w14:paraId="0D81A11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410E8D9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665A61D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635" w:type="dxa"/>
            <w:noWrap/>
            <w:vAlign w:val="center"/>
            <w:hideMark/>
          </w:tcPr>
          <w:p w14:paraId="3469929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51285D0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24FB3254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67D6F213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7</w:t>
            </w:r>
          </w:p>
        </w:tc>
        <w:tc>
          <w:tcPr>
            <w:tcW w:w="2577" w:type="dxa"/>
            <w:noWrap/>
            <w:hideMark/>
          </w:tcPr>
          <w:p w14:paraId="3C11A2F6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Enterococcus faecalis</w:t>
            </w:r>
          </w:p>
        </w:tc>
        <w:tc>
          <w:tcPr>
            <w:tcW w:w="1586" w:type="dxa"/>
            <w:noWrap/>
            <w:hideMark/>
          </w:tcPr>
          <w:p w14:paraId="0BA58BF7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90</w:t>
            </w:r>
          </w:p>
        </w:tc>
        <w:tc>
          <w:tcPr>
            <w:tcW w:w="793" w:type="dxa"/>
            <w:noWrap/>
            <w:vAlign w:val="center"/>
            <w:hideMark/>
          </w:tcPr>
          <w:p w14:paraId="68F738F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I</w:t>
            </w:r>
          </w:p>
        </w:tc>
        <w:tc>
          <w:tcPr>
            <w:tcW w:w="1077" w:type="dxa"/>
            <w:noWrap/>
            <w:vAlign w:val="center"/>
            <w:hideMark/>
          </w:tcPr>
          <w:p w14:paraId="6F51BC2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2DAB8B7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29114A4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175BC35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36628F6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991" w:type="dxa"/>
            <w:noWrap/>
            <w:vAlign w:val="center"/>
            <w:hideMark/>
          </w:tcPr>
          <w:p w14:paraId="7E23C98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3DF7A7A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52" w:type="dxa"/>
            <w:noWrap/>
            <w:vAlign w:val="center"/>
            <w:hideMark/>
          </w:tcPr>
          <w:p w14:paraId="60E7502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</w:tr>
      <w:tr w:rsidR="00CF5E6C" w:rsidRPr="00F06C5C" w14:paraId="23DCD8A2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53C6768A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7</w:t>
            </w:r>
          </w:p>
        </w:tc>
        <w:tc>
          <w:tcPr>
            <w:tcW w:w="2577" w:type="dxa"/>
            <w:noWrap/>
            <w:hideMark/>
          </w:tcPr>
          <w:p w14:paraId="7FBE648B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Enterococcus faecalis</w:t>
            </w:r>
          </w:p>
        </w:tc>
        <w:tc>
          <w:tcPr>
            <w:tcW w:w="1586" w:type="dxa"/>
            <w:noWrap/>
            <w:hideMark/>
          </w:tcPr>
          <w:p w14:paraId="46243596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125</w:t>
            </w:r>
          </w:p>
        </w:tc>
        <w:tc>
          <w:tcPr>
            <w:tcW w:w="793" w:type="dxa"/>
            <w:noWrap/>
            <w:vAlign w:val="center"/>
            <w:hideMark/>
          </w:tcPr>
          <w:p w14:paraId="7628968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077" w:type="dxa"/>
            <w:noWrap/>
            <w:vAlign w:val="center"/>
            <w:hideMark/>
          </w:tcPr>
          <w:p w14:paraId="0E23AD7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09C32C0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1F7C514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7F45B5C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305B6F9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991" w:type="dxa"/>
            <w:noWrap/>
            <w:vAlign w:val="center"/>
            <w:hideMark/>
          </w:tcPr>
          <w:p w14:paraId="3ED55EC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1AA0FCF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52" w:type="dxa"/>
            <w:noWrap/>
            <w:vAlign w:val="center"/>
            <w:hideMark/>
          </w:tcPr>
          <w:p w14:paraId="2D1543F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</w:tr>
      <w:tr w:rsidR="00CF5E6C" w:rsidRPr="00F06C5C" w14:paraId="4FB615B1" w14:textId="77777777" w:rsidTr="00CF5E6C">
        <w:trPr>
          <w:trHeight w:val="324"/>
        </w:trPr>
        <w:tc>
          <w:tcPr>
            <w:tcW w:w="1579" w:type="dxa"/>
            <w:noWrap/>
            <w:hideMark/>
          </w:tcPr>
          <w:p w14:paraId="6A6F9564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8</w:t>
            </w:r>
          </w:p>
        </w:tc>
        <w:tc>
          <w:tcPr>
            <w:tcW w:w="2577" w:type="dxa"/>
            <w:noWrap/>
            <w:hideMark/>
          </w:tcPr>
          <w:p w14:paraId="55C315A9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Enterococcus faecium</w:t>
            </w:r>
          </w:p>
        </w:tc>
        <w:tc>
          <w:tcPr>
            <w:tcW w:w="1586" w:type="dxa"/>
            <w:noWrap/>
            <w:hideMark/>
          </w:tcPr>
          <w:p w14:paraId="3822E9A8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108</w:t>
            </w:r>
          </w:p>
        </w:tc>
        <w:tc>
          <w:tcPr>
            <w:tcW w:w="793" w:type="dxa"/>
            <w:noWrap/>
            <w:vAlign w:val="center"/>
            <w:hideMark/>
          </w:tcPr>
          <w:p w14:paraId="2E6AB62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077" w:type="dxa"/>
            <w:noWrap/>
            <w:vAlign w:val="center"/>
            <w:hideMark/>
          </w:tcPr>
          <w:p w14:paraId="4EDA29F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07" w:type="dxa"/>
            <w:noWrap/>
            <w:vAlign w:val="center"/>
            <w:hideMark/>
          </w:tcPr>
          <w:p w14:paraId="2288CCF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752CBAB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50049A4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387" w:type="dxa"/>
            <w:noWrap/>
            <w:vAlign w:val="center"/>
            <w:hideMark/>
          </w:tcPr>
          <w:p w14:paraId="5BA0A4A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991" w:type="dxa"/>
            <w:noWrap/>
            <w:vAlign w:val="center"/>
            <w:hideMark/>
          </w:tcPr>
          <w:p w14:paraId="3CD8D62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659DA22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52" w:type="dxa"/>
            <w:noWrap/>
            <w:vAlign w:val="center"/>
            <w:hideMark/>
          </w:tcPr>
          <w:p w14:paraId="6B62FDF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</w:tr>
      <w:tr w:rsidR="00CF5E6C" w:rsidRPr="00F06C5C" w14:paraId="5A4D2EB3" w14:textId="77777777" w:rsidTr="00CF5E6C">
        <w:trPr>
          <w:trHeight w:val="324"/>
        </w:trPr>
        <w:tc>
          <w:tcPr>
            <w:tcW w:w="1579" w:type="dxa"/>
            <w:noWrap/>
            <w:hideMark/>
          </w:tcPr>
          <w:p w14:paraId="176B1838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9</w:t>
            </w:r>
          </w:p>
        </w:tc>
        <w:tc>
          <w:tcPr>
            <w:tcW w:w="2577" w:type="dxa"/>
            <w:noWrap/>
            <w:hideMark/>
          </w:tcPr>
          <w:p w14:paraId="028CEBEC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Enterococcus faecium</w:t>
            </w:r>
          </w:p>
        </w:tc>
        <w:tc>
          <w:tcPr>
            <w:tcW w:w="1586" w:type="dxa"/>
            <w:noWrap/>
            <w:hideMark/>
          </w:tcPr>
          <w:p w14:paraId="73436C76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6</w:t>
            </w:r>
          </w:p>
        </w:tc>
        <w:tc>
          <w:tcPr>
            <w:tcW w:w="793" w:type="dxa"/>
            <w:noWrap/>
            <w:vAlign w:val="center"/>
            <w:hideMark/>
          </w:tcPr>
          <w:p w14:paraId="7CA4DFC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5C28EDD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07" w:type="dxa"/>
            <w:noWrap/>
            <w:vAlign w:val="center"/>
            <w:hideMark/>
          </w:tcPr>
          <w:p w14:paraId="29384AC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6F98DA8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5604560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387" w:type="dxa"/>
            <w:noWrap/>
            <w:vAlign w:val="center"/>
            <w:hideMark/>
          </w:tcPr>
          <w:p w14:paraId="7F64C3B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991" w:type="dxa"/>
            <w:noWrap/>
            <w:vAlign w:val="center"/>
            <w:hideMark/>
          </w:tcPr>
          <w:p w14:paraId="57B57C1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6866E0D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52" w:type="dxa"/>
            <w:noWrap/>
            <w:vAlign w:val="center"/>
            <w:hideMark/>
          </w:tcPr>
          <w:p w14:paraId="4DCD5BF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</w:tr>
      <w:tr w:rsidR="00CF5E6C" w:rsidRPr="00F06C5C" w14:paraId="11410D32" w14:textId="77777777" w:rsidTr="00CF5E6C">
        <w:trPr>
          <w:trHeight w:val="324"/>
        </w:trPr>
        <w:tc>
          <w:tcPr>
            <w:tcW w:w="1579" w:type="dxa"/>
            <w:noWrap/>
            <w:hideMark/>
          </w:tcPr>
          <w:p w14:paraId="5E05766C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lastRenderedPageBreak/>
              <w:t>3</w:t>
            </w:r>
          </w:p>
        </w:tc>
        <w:tc>
          <w:tcPr>
            <w:tcW w:w="2577" w:type="dxa"/>
            <w:noWrap/>
            <w:hideMark/>
          </w:tcPr>
          <w:p w14:paraId="129CEE92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Enterococcus faecium</w:t>
            </w:r>
          </w:p>
        </w:tc>
        <w:tc>
          <w:tcPr>
            <w:tcW w:w="1586" w:type="dxa"/>
            <w:noWrap/>
            <w:hideMark/>
          </w:tcPr>
          <w:p w14:paraId="297908A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355</w:t>
            </w:r>
          </w:p>
        </w:tc>
        <w:tc>
          <w:tcPr>
            <w:tcW w:w="793" w:type="dxa"/>
            <w:noWrap/>
            <w:vAlign w:val="center"/>
            <w:hideMark/>
          </w:tcPr>
          <w:p w14:paraId="234D5ED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6A3CEB3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07" w:type="dxa"/>
            <w:noWrap/>
            <w:vAlign w:val="center"/>
            <w:hideMark/>
          </w:tcPr>
          <w:p w14:paraId="3E19BB1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7C2BF83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3DDF188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387" w:type="dxa"/>
            <w:noWrap/>
            <w:vAlign w:val="center"/>
            <w:hideMark/>
          </w:tcPr>
          <w:p w14:paraId="32BD8B5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991" w:type="dxa"/>
            <w:noWrap/>
            <w:vAlign w:val="center"/>
            <w:hideMark/>
          </w:tcPr>
          <w:p w14:paraId="2C97C30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5521BA6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52" w:type="dxa"/>
            <w:noWrap/>
            <w:vAlign w:val="center"/>
            <w:hideMark/>
          </w:tcPr>
          <w:p w14:paraId="09F82F7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</w:tr>
      <w:tr w:rsidR="00CF5E6C" w:rsidRPr="00F06C5C" w14:paraId="5F615362" w14:textId="77777777" w:rsidTr="00CF5E6C">
        <w:trPr>
          <w:trHeight w:val="324"/>
        </w:trPr>
        <w:tc>
          <w:tcPr>
            <w:tcW w:w="1579" w:type="dxa"/>
            <w:noWrap/>
            <w:hideMark/>
          </w:tcPr>
          <w:p w14:paraId="07A3F668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10</w:t>
            </w:r>
          </w:p>
        </w:tc>
        <w:tc>
          <w:tcPr>
            <w:tcW w:w="2577" w:type="dxa"/>
            <w:noWrap/>
            <w:hideMark/>
          </w:tcPr>
          <w:p w14:paraId="3830B2F2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Enterococcus faecium</w:t>
            </w:r>
          </w:p>
        </w:tc>
        <w:tc>
          <w:tcPr>
            <w:tcW w:w="1586" w:type="dxa"/>
            <w:noWrap/>
            <w:hideMark/>
          </w:tcPr>
          <w:p w14:paraId="3F4DCC79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3</w:t>
            </w:r>
          </w:p>
        </w:tc>
        <w:tc>
          <w:tcPr>
            <w:tcW w:w="793" w:type="dxa"/>
            <w:noWrap/>
            <w:vAlign w:val="center"/>
            <w:hideMark/>
          </w:tcPr>
          <w:p w14:paraId="26AA20A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077" w:type="dxa"/>
            <w:noWrap/>
            <w:vAlign w:val="center"/>
            <w:hideMark/>
          </w:tcPr>
          <w:p w14:paraId="67B2EF8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07" w:type="dxa"/>
            <w:noWrap/>
            <w:vAlign w:val="center"/>
            <w:hideMark/>
          </w:tcPr>
          <w:p w14:paraId="569BA72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2C680A8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2E6815C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387" w:type="dxa"/>
            <w:noWrap/>
            <w:vAlign w:val="center"/>
            <w:hideMark/>
          </w:tcPr>
          <w:p w14:paraId="6A18A3D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991" w:type="dxa"/>
            <w:noWrap/>
            <w:vAlign w:val="center"/>
            <w:hideMark/>
          </w:tcPr>
          <w:p w14:paraId="4E51AD6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2E75CA1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52" w:type="dxa"/>
            <w:noWrap/>
            <w:vAlign w:val="center"/>
            <w:hideMark/>
          </w:tcPr>
          <w:p w14:paraId="77D5C7D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</w:tr>
      <w:tr w:rsidR="00CF5E6C" w:rsidRPr="00F06C5C" w14:paraId="7A566494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33C8B83C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11</w:t>
            </w:r>
          </w:p>
        </w:tc>
        <w:tc>
          <w:tcPr>
            <w:tcW w:w="2577" w:type="dxa"/>
            <w:noWrap/>
            <w:hideMark/>
          </w:tcPr>
          <w:p w14:paraId="3650A346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Escherichia coli</w:t>
            </w:r>
          </w:p>
        </w:tc>
        <w:tc>
          <w:tcPr>
            <w:tcW w:w="1586" w:type="dxa"/>
            <w:noWrap/>
            <w:hideMark/>
          </w:tcPr>
          <w:p w14:paraId="4E94873A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74</w:t>
            </w:r>
          </w:p>
        </w:tc>
        <w:tc>
          <w:tcPr>
            <w:tcW w:w="793" w:type="dxa"/>
            <w:noWrap/>
            <w:vAlign w:val="center"/>
            <w:hideMark/>
          </w:tcPr>
          <w:p w14:paraId="33148AE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077" w:type="dxa"/>
            <w:noWrap/>
            <w:vAlign w:val="center"/>
            <w:hideMark/>
          </w:tcPr>
          <w:p w14:paraId="3621505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371377E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00EB235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57B7C5A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40276E7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991" w:type="dxa"/>
            <w:noWrap/>
            <w:vAlign w:val="center"/>
            <w:hideMark/>
          </w:tcPr>
          <w:p w14:paraId="43C5B0C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635" w:type="dxa"/>
            <w:noWrap/>
            <w:vAlign w:val="center"/>
            <w:hideMark/>
          </w:tcPr>
          <w:p w14:paraId="121AE10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2C37F8F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1FB1F62E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5F5D8DF4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4</w:t>
            </w:r>
          </w:p>
        </w:tc>
        <w:tc>
          <w:tcPr>
            <w:tcW w:w="2577" w:type="dxa"/>
            <w:noWrap/>
            <w:hideMark/>
          </w:tcPr>
          <w:p w14:paraId="231BC427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Escherichia coli</w:t>
            </w:r>
          </w:p>
        </w:tc>
        <w:tc>
          <w:tcPr>
            <w:tcW w:w="1586" w:type="dxa"/>
            <w:noWrap/>
            <w:hideMark/>
          </w:tcPr>
          <w:p w14:paraId="7B40BEF7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1225</w:t>
            </w:r>
          </w:p>
        </w:tc>
        <w:tc>
          <w:tcPr>
            <w:tcW w:w="793" w:type="dxa"/>
            <w:noWrap/>
            <w:vAlign w:val="center"/>
            <w:hideMark/>
          </w:tcPr>
          <w:p w14:paraId="7DEB0FC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3DC91D7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677CEFF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93" w:type="dxa"/>
            <w:noWrap/>
            <w:vAlign w:val="center"/>
            <w:hideMark/>
          </w:tcPr>
          <w:p w14:paraId="3F0DDED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122AECB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13C7358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5C5DD6E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170A721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06C71D0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04462F36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093E0B9F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</w:t>
            </w:r>
          </w:p>
        </w:tc>
        <w:tc>
          <w:tcPr>
            <w:tcW w:w="2577" w:type="dxa"/>
            <w:noWrap/>
            <w:hideMark/>
          </w:tcPr>
          <w:p w14:paraId="2C507C20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Haemophilus influenzae</w:t>
            </w:r>
          </w:p>
        </w:tc>
        <w:tc>
          <w:tcPr>
            <w:tcW w:w="1586" w:type="dxa"/>
            <w:noWrap/>
            <w:hideMark/>
          </w:tcPr>
          <w:p w14:paraId="26B6954B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709</w:t>
            </w:r>
          </w:p>
        </w:tc>
        <w:tc>
          <w:tcPr>
            <w:tcW w:w="793" w:type="dxa"/>
            <w:noWrap/>
            <w:vAlign w:val="center"/>
            <w:hideMark/>
          </w:tcPr>
          <w:p w14:paraId="458A248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5FA8376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07" w:type="dxa"/>
            <w:noWrap/>
            <w:vAlign w:val="center"/>
            <w:hideMark/>
          </w:tcPr>
          <w:p w14:paraId="5362DEA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1305BF1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5E815F5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387" w:type="dxa"/>
            <w:noWrap/>
            <w:vAlign w:val="center"/>
            <w:hideMark/>
          </w:tcPr>
          <w:p w14:paraId="2433D2C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732A7A1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3F9A444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1C3A511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514F42AB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138DD927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12</w:t>
            </w:r>
          </w:p>
        </w:tc>
        <w:tc>
          <w:tcPr>
            <w:tcW w:w="2577" w:type="dxa"/>
            <w:noWrap/>
            <w:hideMark/>
          </w:tcPr>
          <w:p w14:paraId="43D058ED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Klebsiella pneumoniae</w:t>
            </w:r>
          </w:p>
        </w:tc>
        <w:tc>
          <w:tcPr>
            <w:tcW w:w="1586" w:type="dxa"/>
            <w:noWrap/>
            <w:hideMark/>
          </w:tcPr>
          <w:p w14:paraId="2AF058EF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366</w:t>
            </w:r>
          </w:p>
        </w:tc>
        <w:tc>
          <w:tcPr>
            <w:tcW w:w="793" w:type="dxa"/>
            <w:noWrap/>
            <w:vAlign w:val="center"/>
            <w:hideMark/>
          </w:tcPr>
          <w:p w14:paraId="6190A4A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077" w:type="dxa"/>
            <w:noWrap/>
            <w:vAlign w:val="center"/>
            <w:hideMark/>
          </w:tcPr>
          <w:p w14:paraId="050AC1F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08BEF16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93" w:type="dxa"/>
            <w:noWrap/>
            <w:vAlign w:val="center"/>
            <w:hideMark/>
          </w:tcPr>
          <w:p w14:paraId="203FAE6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93" w:type="dxa"/>
            <w:noWrap/>
            <w:vAlign w:val="center"/>
            <w:hideMark/>
          </w:tcPr>
          <w:p w14:paraId="4612387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440C72D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2C9F4F0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635" w:type="dxa"/>
            <w:noWrap/>
            <w:vAlign w:val="center"/>
            <w:hideMark/>
          </w:tcPr>
          <w:p w14:paraId="76A7384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0826BDE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5478D11A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68BD8378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13</w:t>
            </w:r>
          </w:p>
        </w:tc>
        <w:tc>
          <w:tcPr>
            <w:tcW w:w="2577" w:type="dxa"/>
            <w:noWrap/>
            <w:hideMark/>
          </w:tcPr>
          <w:p w14:paraId="49697B4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Klebsiella pneumoniae</w:t>
            </w:r>
          </w:p>
        </w:tc>
        <w:tc>
          <w:tcPr>
            <w:tcW w:w="1586" w:type="dxa"/>
            <w:noWrap/>
            <w:hideMark/>
          </w:tcPr>
          <w:p w14:paraId="6EAAD663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13</w:t>
            </w:r>
          </w:p>
        </w:tc>
        <w:tc>
          <w:tcPr>
            <w:tcW w:w="793" w:type="dxa"/>
            <w:noWrap/>
            <w:vAlign w:val="center"/>
            <w:hideMark/>
          </w:tcPr>
          <w:p w14:paraId="2AEF896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427619FE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47CFF14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93" w:type="dxa"/>
            <w:noWrap/>
            <w:vAlign w:val="center"/>
            <w:hideMark/>
          </w:tcPr>
          <w:p w14:paraId="0F67052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93" w:type="dxa"/>
            <w:noWrap/>
            <w:vAlign w:val="center"/>
            <w:hideMark/>
          </w:tcPr>
          <w:p w14:paraId="7E3CBDDE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7B4CE9A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50AC9D2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635" w:type="dxa"/>
            <w:noWrap/>
            <w:vAlign w:val="center"/>
            <w:hideMark/>
          </w:tcPr>
          <w:p w14:paraId="0916F51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50C5EF4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4E28648E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39FAC4A3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13</w:t>
            </w:r>
          </w:p>
        </w:tc>
        <w:tc>
          <w:tcPr>
            <w:tcW w:w="2577" w:type="dxa"/>
            <w:noWrap/>
            <w:hideMark/>
          </w:tcPr>
          <w:p w14:paraId="64567429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Klebsiella pneumoniae</w:t>
            </w:r>
          </w:p>
        </w:tc>
        <w:tc>
          <w:tcPr>
            <w:tcW w:w="1586" w:type="dxa"/>
            <w:noWrap/>
            <w:hideMark/>
          </w:tcPr>
          <w:p w14:paraId="63B325A7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32</w:t>
            </w:r>
          </w:p>
        </w:tc>
        <w:tc>
          <w:tcPr>
            <w:tcW w:w="793" w:type="dxa"/>
            <w:noWrap/>
            <w:vAlign w:val="center"/>
            <w:hideMark/>
          </w:tcPr>
          <w:p w14:paraId="6AB872E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411DC03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2D64012E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93" w:type="dxa"/>
            <w:noWrap/>
            <w:vAlign w:val="center"/>
            <w:hideMark/>
          </w:tcPr>
          <w:p w14:paraId="708E1D9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93" w:type="dxa"/>
            <w:noWrap/>
            <w:vAlign w:val="center"/>
            <w:hideMark/>
          </w:tcPr>
          <w:p w14:paraId="17115E6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105F72B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38C042B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635" w:type="dxa"/>
            <w:noWrap/>
            <w:vAlign w:val="center"/>
            <w:hideMark/>
          </w:tcPr>
          <w:p w14:paraId="42CBA8A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1A12613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28BCB8A0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7EA672CD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14</w:t>
            </w:r>
          </w:p>
        </w:tc>
        <w:tc>
          <w:tcPr>
            <w:tcW w:w="2577" w:type="dxa"/>
            <w:noWrap/>
            <w:hideMark/>
          </w:tcPr>
          <w:p w14:paraId="528F0CCC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Pseudomonas aeruginosa</w:t>
            </w:r>
          </w:p>
        </w:tc>
        <w:tc>
          <w:tcPr>
            <w:tcW w:w="1586" w:type="dxa"/>
            <w:noWrap/>
            <w:hideMark/>
          </w:tcPr>
          <w:p w14:paraId="54EABE5B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16</w:t>
            </w:r>
          </w:p>
        </w:tc>
        <w:tc>
          <w:tcPr>
            <w:tcW w:w="793" w:type="dxa"/>
            <w:noWrap/>
            <w:vAlign w:val="center"/>
            <w:hideMark/>
          </w:tcPr>
          <w:p w14:paraId="4C95978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077" w:type="dxa"/>
            <w:noWrap/>
            <w:vAlign w:val="center"/>
            <w:hideMark/>
          </w:tcPr>
          <w:p w14:paraId="21E1FFA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7" w:type="dxa"/>
            <w:noWrap/>
            <w:vAlign w:val="center"/>
            <w:hideMark/>
          </w:tcPr>
          <w:p w14:paraId="7619E16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59E8A1D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4C96110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387" w:type="dxa"/>
            <w:noWrap/>
            <w:vAlign w:val="center"/>
            <w:hideMark/>
          </w:tcPr>
          <w:p w14:paraId="3417CB1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0FD6851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33BBF655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4CE5D8D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5E944F82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6B03AA03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15</w:t>
            </w:r>
          </w:p>
        </w:tc>
        <w:tc>
          <w:tcPr>
            <w:tcW w:w="2577" w:type="dxa"/>
            <w:noWrap/>
            <w:hideMark/>
          </w:tcPr>
          <w:p w14:paraId="069E37C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Staphylococcus aureus</w:t>
            </w:r>
          </w:p>
        </w:tc>
        <w:tc>
          <w:tcPr>
            <w:tcW w:w="1586" w:type="dxa"/>
            <w:noWrap/>
            <w:hideMark/>
          </w:tcPr>
          <w:p w14:paraId="7ECE2BA6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557</w:t>
            </w:r>
          </w:p>
        </w:tc>
        <w:tc>
          <w:tcPr>
            <w:tcW w:w="793" w:type="dxa"/>
            <w:noWrap/>
            <w:vAlign w:val="center"/>
            <w:hideMark/>
          </w:tcPr>
          <w:p w14:paraId="466D6A2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077" w:type="dxa"/>
            <w:noWrap/>
            <w:vAlign w:val="center"/>
            <w:hideMark/>
          </w:tcPr>
          <w:p w14:paraId="6E8E34E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07" w:type="dxa"/>
            <w:noWrap/>
            <w:vAlign w:val="center"/>
            <w:hideMark/>
          </w:tcPr>
          <w:p w14:paraId="609080D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93" w:type="dxa"/>
            <w:noWrap/>
            <w:vAlign w:val="center"/>
            <w:hideMark/>
          </w:tcPr>
          <w:p w14:paraId="22ABD34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34D551D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387" w:type="dxa"/>
            <w:noWrap/>
            <w:vAlign w:val="center"/>
            <w:hideMark/>
          </w:tcPr>
          <w:p w14:paraId="76B07E8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991" w:type="dxa"/>
            <w:noWrap/>
            <w:vAlign w:val="center"/>
            <w:hideMark/>
          </w:tcPr>
          <w:p w14:paraId="6BF3562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713C6D0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52" w:type="dxa"/>
            <w:noWrap/>
            <w:vAlign w:val="center"/>
            <w:hideMark/>
          </w:tcPr>
          <w:p w14:paraId="362FB08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</w:tr>
      <w:tr w:rsidR="00CF5E6C" w:rsidRPr="00F06C5C" w14:paraId="77E15377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7ABB22F6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5</w:t>
            </w:r>
          </w:p>
        </w:tc>
        <w:tc>
          <w:tcPr>
            <w:tcW w:w="2577" w:type="dxa"/>
            <w:noWrap/>
            <w:hideMark/>
          </w:tcPr>
          <w:p w14:paraId="7839376B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Stenotrophomonas maltophilia</w:t>
            </w:r>
          </w:p>
        </w:tc>
        <w:tc>
          <w:tcPr>
            <w:tcW w:w="1586" w:type="dxa"/>
            <w:noWrap/>
            <w:hideMark/>
          </w:tcPr>
          <w:p w14:paraId="460FEE0B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130</w:t>
            </w:r>
          </w:p>
        </w:tc>
        <w:tc>
          <w:tcPr>
            <w:tcW w:w="793" w:type="dxa"/>
            <w:noWrap/>
            <w:vAlign w:val="center"/>
            <w:hideMark/>
          </w:tcPr>
          <w:p w14:paraId="6C2C04A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077" w:type="dxa"/>
            <w:noWrap/>
            <w:vAlign w:val="center"/>
            <w:hideMark/>
          </w:tcPr>
          <w:p w14:paraId="6FBC0ACE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I</w:t>
            </w:r>
          </w:p>
        </w:tc>
        <w:tc>
          <w:tcPr>
            <w:tcW w:w="707" w:type="dxa"/>
            <w:noWrap/>
            <w:vAlign w:val="center"/>
            <w:hideMark/>
          </w:tcPr>
          <w:p w14:paraId="1BF7764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7F80410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793" w:type="dxa"/>
            <w:noWrap/>
            <w:vAlign w:val="center"/>
            <w:hideMark/>
          </w:tcPr>
          <w:p w14:paraId="764A8F5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R</w:t>
            </w:r>
          </w:p>
        </w:tc>
        <w:tc>
          <w:tcPr>
            <w:tcW w:w="1387" w:type="dxa"/>
            <w:noWrap/>
            <w:vAlign w:val="center"/>
            <w:hideMark/>
          </w:tcPr>
          <w:p w14:paraId="2569DDA4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991" w:type="dxa"/>
            <w:noWrap/>
            <w:vAlign w:val="center"/>
            <w:hideMark/>
          </w:tcPr>
          <w:p w14:paraId="696898BE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635" w:type="dxa"/>
            <w:noWrap/>
            <w:vAlign w:val="center"/>
            <w:hideMark/>
          </w:tcPr>
          <w:p w14:paraId="6CB8ABC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03A1F930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583FCE21" w14:textId="77777777" w:rsidTr="00CF5E6C">
        <w:trPr>
          <w:trHeight w:val="295"/>
        </w:trPr>
        <w:tc>
          <w:tcPr>
            <w:tcW w:w="1579" w:type="dxa"/>
            <w:noWrap/>
            <w:hideMark/>
          </w:tcPr>
          <w:p w14:paraId="1A4C02CE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16</w:t>
            </w:r>
          </w:p>
        </w:tc>
        <w:tc>
          <w:tcPr>
            <w:tcW w:w="2577" w:type="dxa"/>
            <w:noWrap/>
            <w:hideMark/>
          </w:tcPr>
          <w:p w14:paraId="71145500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Streptococcus pneumoniae</w:t>
            </w:r>
          </w:p>
        </w:tc>
        <w:tc>
          <w:tcPr>
            <w:tcW w:w="1586" w:type="dxa"/>
            <w:noWrap/>
            <w:hideMark/>
          </w:tcPr>
          <w:p w14:paraId="340DDBBC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247</w:t>
            </w:r>
          </w:p>
        </w:tc>
        <w:tc>
          <w:tcPr>
            <w:tcW w:w="793" w:type="dxa"/>
            <w:noWrap/>
            <w:vAlign w:val="center"/>
            <w:hideMark/>
          </w:tcPr>
          <w:p w14:paraId="12B38328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077" w:type="dxa"/>
            <w:noWrap/>
            <w:vAlign w:val="center"/>
            <w:hideMark/>
          </w:tcPr>
          <w:p w14:paraId="0BBB506E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07" w:type="dxa"/>
            <w:noWrap/>
            <w:vAlign w:val="center"/>
            <w:hideMark/>
          </w:tcPr>
          <w:p w14:paraId="2C093699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78804C9E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93" w:type="dxa"/>
            <w:noWrap/>
            <w:vAlign w:val="center"/>
            <w:hideMark/>
          </w:tcPr>
          <w:p w14:paraId="6D083CB6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1387" w:type="dxa"/>
            <w:noWrap/>
            <w:vAlign w:val="center"/>
            <w:hideMark/>
          </w:tcPr>
          <w:p w14:paraId="700E00E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991" w:type="dxa"/>
            <w:noWrap/>
            <w:vAlign w:val="center"/>
            <w:hideMark/>
          </w:tcPr>
          <w:p w14:paraId="6446C38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635" w:type="dxa"/>
            <w:noWrap/>
            <w:vAlign w:val="center"/>
            <w:hideMark/>
          </w:tcPr>
          <w:p w14:paraId="09C8629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  <w:tc>
          <w:tcPr>
            <w:tcW w:w="752" w:type="dxa"/>
            <w:noWrap/>
            <w:vAlign w:val="center"/>
            <w:hideMark/>
          </w:tcPr>
          <w:p w14:paraId="677A41E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</w:tbl>
    <w:p w14:paraId="22D3A833" w14:textId="77777777" w:rsidR="00CF5E6C" w:rsidRPr="00F06C5C" w:rsidRDefault="00CF5E6C" w:rsidP="00CF5E6C">
      <w:pPr>
        <w:rPr>
          <w:rFonts w:ascii="Arial" w:hAnsi="Arial" w:cs="Arial"/>
          <w:i/>
          <w:iCs/>
          <w:sz w:val="24"/>
          <w:szCs w:val="24"/>
          <w:lang w:val="en-US"/>
        </w:rPr>
      </w:pPr>
      <w:r w:rsidRPr="00F06C5C">
        <w:rPr>
          <w:rFonts w:ascii="Arial" w:hAnsi="Arial" w:cs="Arial"/>
          <w:i/>
          <w:iCs/>
          <w:sz w:val="24"/>
          <w:szCs w:val="24"/>
          <w:lang w:val="en-US"/>
        </w:rPr>
        <w:t>S = Sensitive, I = Intermediate, R = Resistant, - = not tested</w:t>
      </w:r>
    </w:p>
    <w:p w14:paraId="2CE868B2" w14:textId="77777777" w:rsidR="00CF5E6C" w:rsidRPr="00F06C5C" w:rsidRDefault="00CF5E6C" w:rsidP="00CF5E6C">
      <w:pPr>
        <w:rPr>
          <w:rFonts w:ascii="Arial" w:hAnsi="Arial" w:cs="Arial"/>
          <w:sz w:val="24"/>
          <w:szCs w:val="24"/>
          <w:lang w:val="en-US"/>
        </w:rPr>
      </w:pPr>
    </w:p>
    <w:p w14:paraId="6B054908" w14:textId="77777777" w:rsidR="008A3412" w:rsidRDefault="008A3412" w:rsidP="00CF5E6C">
      <w:pPr>
        <w:spacing w:after="0" w:line="240" w:lineRule="auto"/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da-DK"/>
        </w:rPr>
      </w:pPr>
    </w:p>
    <w:p w14:paraId="0F9F6228" w14:textId="026BCB2C" w:rsidR="008309A6" w:rsidRPr="00562325" w:rsidRDefault="004C7361" w:rsidP="00CF5E6C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da-DK"/>
        </w:rPr>
      </w:pPr>
      <w:r w:rsidRPr="00562325"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Supplementary material</w:t>
      </w:r>
      <w:r w:rsidRPr="00562325">
        <w:rPr>
          <w:rFonts w:ascii="Arial" w:eastAsia="Times New Roman" w:hAnsi="Arial" w:cs="Arial"/>
          <w:b/>
          <w:bCs/>
          <w:sz w:val="24"/>
          <w:szCs w:val="24"/>
          <w:lang w:val="en-US"/>
        </w:rPr>
        <w:t xml:space="preserve"> content </w:t>
      </w:r>
      <w:r w:rsidR="00BA4EC2" w:rsidRPr="00562325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8309A6" w:rsidRPr="00562325">
        <w:rPr>
          <w:rFonts w:ascii="Arial" w:hAnsi="Arial" w:cs="Arial"/>
          <w:b/>
          <w:bCs/>
          <w:sz w:val="24"/>
          <w:szCs w:val="24"/>
          <w:lang w:val="en-US"/>
        </w:rPr>
        <w:t xml:space="preserve">. </w:t>
      </w:r>
    </w:p>
    <w:p w14:paraId="6D1F3B37" w14:textId="77777777" w:rsidR="00CF5E6C" w:rsidRPr="00F06C5C" w:rsidRDefault="00CF5E6C" w:rsidP="00CF5E6C">
      <w:pPr>
        <w:spacing w:after="0" w:line="240" w:lineRule="auto"/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da-DK"/>
        </w:rPr>
      </w:pPr>
      <w:r w:rsidRPr="00F06C5C">
        <w:rPr>
          <w:rFonts w:ascii="Arial" w:hAnsi="Arial" w:cs="Arial"/>
          <w:i/>
          <w:iCs/>
          <w:sz w:val="24"/>
          <w:szCs w:val="24"/>
          <w:lang w:val="en-US"/>
        </w:rPr>
        <w:t xml:space="preserve">Antibiotic resistance profiles </w:t>
      </w:r>
      <w:r w:rsidRPr="00F06C5C"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da-DK"/>
        </w:rPr>
        <w:t>for fungal bloodstream infections</w:t>
      </w:r>
    </w:p>
    <w:p w14:paraId="622F8D30" w14:textId="77777777" w:rsidR="00CF5E6C" w:rsidRPr="00F06C5C" w:rsidRDefault="00CF5E6C" w:rsidP="00CF5E6C">
      <w:pPr>
        <w:spacing w:after="0" w:line="240" w:lineRule="auto"/>
        <w:rPr>
          <w:rFonts w:ascii="Arial" w:eastAsia="Times New Roman" w:hAnsi="Arial" w:cs="Arial"/>
          <w:i/>
          <w:iCs/>
          <w:color w:val="000000"/>
          <w:sz w:val="24"/>
          <w:szCs w:val="24"/>
          <w:lang w:val="en-US" w:eastAsia="da-DK"/>
        </w:rPr>
      </w:pPr>
    </w:p>
    <w:tbl>
      <w:tblPr>
        <w:tblStyle w:val="Tabel-Tema"/>
        <w:tblW w:w="8359" w:type="dxa"/>
        <w:tblLayout w:type="fixed"/>
        <w:tblLook w:val="04A0" w:firstRow="1" w:lastRow="0" w:firstColumn="1" w:lastColumn="0" w:noHBand="0" w:noVBand="1"/>
      </w:tblPr>
      <w:tblGrid>
        <w:gridCol w:w="1555"/>
        <w:gridCol w:w="2551"/>
        <w:gridCol w:w="1559"/>
        <w:gridCol w:w="851"/>
        <w:gridCol w:w="1134"/>
        <w:gridCol w:w="709"/>
      </w:tblGrid>
      <w:tr w:rsidR="00CF5E6C" w:rsidRPr="00F06C5C" w14:paraId="2B8A0B50" w14:textId="77777777" w:rsidTr="00CF5E6C">
        <w:trPr>
          <w:cantSplit/>
          <w:trHeight w:val="2618"/>
        </w:trPr>
        <w:tc>
          <w:tcPr>
            <w:tcW w:w="1555" w:type="dxa"/>
            <w:noWrap/>
            <w:hideMark/>
          </w:tcPr>
          <w:p w14:paraId="55484CF8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Patient no.</w:t>
            </w:r>
          </w:p>
          <w:p w14:paraId="51BD9A76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</w:p>
        </w:tc>
        <w:tc>
          <w:tcPr>
            <w:tcW w:w="2551" w:type="dxa"/>
            <w:noWrap/>
            <w:hideMark/>
          </w:tcPr>
          <w:p w14:paraId="71DB8EEF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Pathogen</w:t>
            </w:r>
          </w:p>
        </w:tc>
        <w:tc>
          <w:tcPr>
            <w:tcW w:w="1559" w:type="dxa"/>
            <w:noWrap/>
            <w:hideMark/>
          </w:tcPr>
          <w:p w14:paraId="0F076083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a-DK"/>
              </w:rPr>
              <w:t>Time from transplantation to BSI in days</w:t>
            </w:r>
          </w:p>
        </w:tc>
        <w:tc>
          <w:tcPr>
            <w:tcW w:w="851" w:type="dxa"/>
            <w:noWrap/>
            <w:textDirection w:val="btLr"/>
            <w:vAlign w:val="center"/>
            <w:hideMark/>
          </w:tcPr>
          <w:p w14:paraId="290E3478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Fluconazole</w:t>
            </w:r>
          </w:p>
        </w:tc>
        <w:tc>
          <w:tcPr>
            <w:tcW w:w="1134" w:type="dxa"/>
            <w:noWrap/>
            <w:textDirection w:val="btLr"/>
            <w:vAlign w:val="center"/>
            <w:hideMark/>
          </w:tcPr>
          <w:p w14:paraId="20FF9FE2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Amphotericin B</w:t>
            </w:r>
          </w:p>
        </w:tc>
        <w:tc>
          <w:tcPr>
            <w:tcW w:w="709" w:type="dxa"/>
            <w:noWrap/>
            <w:textDirection w:val="btLr"/>
            <w:vAlign w:val="center"/>
            <w:hideMark/>
          </w:tcPr>
          <w:p w14:paraId="09A5751A" w14:textId="77777777" w:rsidR="00CF5E6C" w:rsidRPr="00F06C5C" w:rsidRDefault="00CF5E6C" w:rsidP="00100BD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a-DK"/>
              </w:rPr>
              <w:t>Anidulafungin</w:t>
            </w:r>
          </w:p>
        </w:tc>
      </w:tr>
      <w:tr w:rsidR="00CF5E6C" w:rsidRPr="00F06C5C" w14:paraId="10E623DB" w14:textId="77777777" w:rsidTr="00CF5E6C">
        <w:trPr>
          <w:trHeight w:val="350"/>
        </w:trPr>
        <w:tc>
          <w:tcPr>
            <w:tcW w:w="1555" w:type="dxa"/>
            <w:noWrap/>
            <w:hideMark/>
          </w:tcPr>
          <w:p w14:paraId="69E0BD9F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17</w:t>
            </w:r>
          </w:p>
        </w:tc>
        <w:tc>
          <w:tcPr>
            <w:tcW w:w="2551" w:type="dxa"/>
            <w:noWrap/>
            <w:hideMark/>
          </w:tcPr>
          <w:p w14:paraId="6DD77A7D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Candida albicans</w:t>
            </w:r>
          </w:p>
        </w:tc>
        <w:tc>
          <w:tcPr>
            <w:tcW w:w="1559" w:type="dxa"/>
            <w:noWrap/>
            <w:hideMark/>
          </w:tcPr>
          <w:p w14:paraId="7E8305AB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87</w:t>
            </w:r>
          </w:p>
        </w:tc>
        <w:tc>
          <w:tcPr>
            <w:tcW w:w="851" w:type="dxa"/>
            <w:noWrap/>
            <w:vAlign w:val="center"/>
            <w:hideMark/>
          </w:tcPr>
          <w:p w14:paraId="037D5F7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134" w:type="dxa"/>
            <w:noWrap/>
            <w:vAlign w:val="center"/>
            <w:hideMark/>
          </w:tcPr>
          <w:p w14:paraId="7BC52DA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9" w:type="dxa"/>
            <w:noWrap/>
            <w:vAlign w:val="center"/>
            <w:hideMark/>
          </w:tcPr>
          <w:p w14:paraId="56763BE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-</w:t>
            </w:r>
          </w:p>
        </w:tc>
      </w:tr>
      <w:tr w:rsidR="00CF5E6C" w:rsidRPr="00F06C5C" w14:paraId="2E0FAA43" w14:textId="77777777" w:rsidTr="00CF5E6C">
        <w:trPr>
          <w:trHeight w:val="350"/>
        </w:trPr>
        <w:tc>
          <w:tcPr>
            <w:tcW w:w="1555" w:type="dxa"/>
            <w:noWrap/>
            <w:hideMark/>
          </w:tcPr>
          <w:p w14:paraId="67FA4ED7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18</w:t>
            </w:r>
          </w:p>
        </w:tc>
        <w:tc>
          <w:tcPr>
            <w:tcW w:w="2551" w:type="dxa"/>
            <w:noWrap/>
            <w:hideMark/>
          </w:tcPr>
          <w:p w14:paraId="08AF767C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Candida albicans</w:t>
            </w:r>
          </w:p>
        </w:tc>
        <w:tc>
          <w:tcPr>
            <w:tcW w:w="1559" w:type="dxa"/>
            <w:noWrap/>
            <w:hideMark/>
          </w:tcPr>
          <w:p w14:paraId="4E61277F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92</w:t>
            </w:r>
          </w:p>
        </w:tc>
        <w:tc>
          <w:tcPr>
            <w:tcW w:w="851" w:type="dxa"/>
            <w:noWrap/>
            <w:vAlign w:val="center"/>
            <w:hideMark/>
          </w:tcPr>
          <w:p w14:paraId="003512AD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134" w:type="dxa"/>
            <w:noWrap/>
            <w:vAlign w:val="center"/>
            <w:hideMark/>
          </w:tcPr>
          <w:p w14:paraId="0F1A1AAB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9" w:type="dxa"/>
            <w:noWrap/>
            <w:vAlign w:val="center"/>
            <w:hideMark/>
          </w:tcPr>
          <w:p w14:paraId="777DBEDA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</w:tr>
      <w:tr w:rsidR="00CF5E6C" w:rsidRPr="00F06C5C" w14:paraId="4E3D0E0A" w14:textId="77777777" w:rsidTr="00CF5E6C">
        <w:trPr>
          <w:trHeight w:val="350"/>
        </w:trPr>
        <w:tc>
          <w:tcPr>
            <w:tcW w:w="1555" w:type="dxa"/>
            <w:noWrap/>
            <w:hideMark/>
          </w:tcPr>
          <w:p w14:paraId="2A039C24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18</w:t>
            </w:r>
          </w:p>
        </w:tc>
        <w:tc>
          <w:tcPr>
            <w:tcW w:w="2551" w:type="dxa"/>
            <w:noWrap/>
            <w:hideMark/>
          </w:tcPr>
          <w:p w14:paraId="6789D5B6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Candida albicans</w:t>
            </w:r>
          </w:p>
        </w:tc>
        <w:tc>
          <w:tcPr>
            <w:tcW w:w="1559" w:type="dxa"/>
            <w:noWrap/>
            <w:hideMark/>
          </w:tcPr>
          <w:p w14:paraId="2DD88FA5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132</w:t>
            </w:r>
          </w:p>
        </w:tc>
        <w:tc>
          <w:tcPr>
            <w:tcW w:w="851" w:type="dxa"/>
            <w:noWrap/>
            <w:vAlign w:val="center"/>
            <w:hideMark/>
          </w:tcPr>
          <w:p w14:paraId="680B6F53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134" w:type="dxa"/>
            <w:noWrap/>
            <w:vAlign w:val="center"/>
            <w:hideMark/>
          </w:tcPr>
          <w:p w14:paraId="19BAC0CF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9" w:type="dxa"/>
            <w:noWrap/>
            <w:vAlign w:val="center"/>
            <w:hideMark/>
          </w:tcPr>
          <w:p w14:paraId="2C839021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</w:tr>
      <w:tr w:rsidR="00CF5E6C" w:rsidRPr="00F06C5C" w14:paraId="0B4597F3" w14:textId="77777777" w:rsidTr="00CF5E6C">
        <w:trPr>
          <w:trHeight w:val="367"/>
        </w:trPr>
        <w:tc>
          <w:tcPr>
            <w:tcW w:w="1555" w:type="dxa"/>
            <w:noWrap/>
            <w:hideMark/>
          </w:tcPr>
          <w:p w14:paraId="17507D7C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19</w:t>
            </w:r>
          </w:p>
        </w:tc>
        <w:tc>
          <w:tcPr>
            <w:tcW w:w="2551" w:type="dxa"/>
            <w:noWrap/>
            <w:hideMark/>
          </w:tcPr>
          <w:p w14:paraId="05EACE73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Candida parapsilosis complex</w:t>
            </w:r>
          </w:p>
        </w:tc>
        <w:tc>
          <w:tcPr>
            <w:tcW w:w="1559" w:type="dxa"/>
            <w:noWrap/>
            <w:hideMark/>
          </w:tcPr>
          <w:p w14:paraId="1BFEC16F" w14:textId="77777777" w:rsidR="00CF5E6C" w:rsidRPr="00F06C5C" w:rsidRDefault="00CF5E6C" w:rsidP="00100B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color w:val="000000"/>
                <w:sz w:val="24"/>
                <w:szCs w:val="24"/>
                <w:lang w:eastAsia="da-DK"/>
              </w:rPr>
              <w:t>925</w:t>
            </w:r>
          </w:p>
        </w:tc>
        <w:tc>
          <w:tcPr>
            <w:tcW w:w="851" w:type="dxa"/>
            <w:noWrap/>
            <w:vAlign w:val="center"/>
            <w:hideMark/>
          </w:tcPr>
          <w:p w14:paraId="174F86E2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1134" w:type="dxa"/>
            <w:noWrap/>
            <w:vAlign w:val="center"/>
            <w:hideMark/>
          </w:tcPr>
          <w:p w14:paraId="60F6517C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S</w:t>
            </w:r>
          </w:p>
        </w:tc>
        <w:tc>
          <w:tcPr>
            <w:tcW w:w="709" w:type="dxa"/>
            <w:noWrap/>
            <w:vAlign w:val="center"/>
            <w:hideMark/>
          </w:tcPr>
          <w:p w14:paraId="64A0E387" w14:textId="77777777" w:rsidR="00CF5E6C" w:rsidRPr="00F06C5C" w:rsidRDefault="00CF5E6C" w:rsidP="00100BD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da-DK"/>
              </w:rPr>
            </w:pPr>
            <w:r w:rsidRPr="00F06C5C">
              <w:rPr>
                <w:rFonts w:ascii="Arial" w:eastAsia="Times New Roman" w:hAnsi="Arial" w:cs="Arial"/>
                <w:sz w:val="24"/>
                <w:szCs w:val="24"/>
                <w:lang w:eastAsia="da-DK"/>
              </w:rPr>
              <w:t>I</w:t>
            </w:r>
          </w:p>
        </w:tc>
      </w:tr>
    </w:tbl>
    <w:p w14:paraId="07E2F9F5" w14:textId="77777777" w:rsidR="00CF5E6C" w:rsidRPr="00F06C5C" w:rsidRDefault="00CF5E6C" w:rsidP="00CF5E6C">
      <w:pPr>
        <w:rPr>
          <w:rFonts w:ascii="Arial" w:hAnsi="Arial" w:cs="Arial"/>
          <w:i/>
          <w:iCs/>
          <w:sz w:val="24"/>
          <w:szCs w:val="24"/>
          <w:lang w:val="en-US"/>
        </w:rPr>
      </w:pPr>
      <w:r w:rsidRPr="00F06C5C">
        <w:rPr>
          <w:rFonts w:ascii="Arial" w:hAnsi="Arial" w:cs="Arial"/>
          <w:i/>
          <w:iCs/>
          <w:sz w:val="24"/>
          <w:szCs w:val="24"/>
          <w:lang w:val="en-US"/>
        </w:rPr>
        <w:t>S = Sensitive, I = Intermediate, R = Resistant, - = not tested</w:t>
      </w:r>
    </w:p>
    <w:p w14:paraId="299BD3B8" w14:textId="77777777" w:rsidR="00CF5E6C" w:rsidRPr="00F06C5C" w:rsidRDefault="00CF5E6C" w:rsidP="00CF5E6C">
      <w:pPr>
        <w:rPr>
          <w:rFonts w:ascii="Arial" w:hAnsi="Arial" w:cs="Arial"/>
          <w:i/>
          <w:iCs/>
          <w:sz w:val="24"/>
          <w:szCs w:val="24"/>
          <w:lang w:val="en-US"/>
        </w:rPr>
      </w:pPr>
    </w:p>
    <w:p w14:paraId="5A15F7A9" w14:textId="77777777" w:rsidR="00CF5E6C" w:rsidRPr="00CF5E6C" w:rsidRDefault="00CF5E6C">
      <w:pPr>
        <w:rPr>
          <w:lang w:val="en-US"/>
        </w:rPr>
      </w:pPr>
    </w:p>
    <w:sectPr w:rsidR="00CF5E6C" w:rsidRPr="00CF5E6C" w:rsidSect="00CF5E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701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F79B3" w14:textId="77777777" w:rsidR="004834FB" w:rsidRDefault="008A3412">
      <w:pPr>
        <w:spacing w:before="0" w:after="0" w:line="240" w:lineRule="auto"/>
      </w:pPr>
      <w:r>
        <w:separator/>
      </w:r>
    </w:p>
  </w:endnote>
  <w:endnote w:type="continuationSeparator" w:id="0">
    <w:p w14:paraId="4D102BCD" w14:textId="77777777" w:rsidR="004834FB" w:rsidRDefault="008A341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A57E8" w14:textId="77777777" w:rsidR="00BA4EC2" w:rsidRDefault="00BA4EC2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69182152"/>
      <w:docPartObj>
        <w:docPartGallery w:val="Page Numbers (Bottom of Page)"/>
        <w:docPartUnique/>
      </w:docPartObj>
    </w:sdtPr>
    <w:sdtEndPr/>
    <w:sdtContent>
      <w:p w14:paraId="7B651510" w14:textId="77777777" w:rsidR="00991102" w:rsidRDefault="00CF5E6C">
        <w:pPr>
          <w:pStyle w:val="Sidefo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E601FE" w14:textId="77777777" w:rsidR="00991102" w:rsidRDefault="001140FC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DD2A5" w14:textId="77777777" w:rsidR="00BA4EC2" w:rsidRDefault="00BA4EC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240307" w14:textId="77777777" w:rsidR="004834FB" w:rsidRDefault="008A3412">
      <w:pPr>
        <w:spacing w:before="0" w:after="0" w:line="240" w:lineRule="auto"/>
      </w:pPr>
      <w:r>
        <w:separator/>
      </w:r>
    </w:p>
  </w:footnote>
  <w:footnote w:type="continuationSeparator" w:id="0">
    <w:p w14:paraId="552DAEBA" w14:textId="77777777" w:rsidR="004834FB" w:rsidRDefault="008A3412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02545B" w14:textId="77777777" w:rsidR="00BA4EC2" w:rsidRDefault="00BA4EC2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CE0703" w14:textId="77777777" w:rsidR="00BA4EC2" w:rsidRDefault="00BA4EC2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EE8209" w14:textId="77777777" w:rsidR="00BA4EC2" w:rsidRDefault="00BA4EC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F5207ACE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3FACB24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80A66C1"/>
    <w:multiLevelType w:val="hybridMultilevel"/>
    <w:tmpl w:val="4BC2D850"/>
    <w:lvl w:ilvl="0" w:tplc="03A4F34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1304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ytTA1s7QwMjcwsrRU0lEKTi0uzszPAykwNKwFAJqqdOctAAAA"/>
  </w:docVars>
  <w:rsids>
    <w:rsidRoot w:val="00CF5E6C"/>
    <w:rsid w:val="000E4AF2"/>
    <w:rsid w:val="001036AE"/>
    <w:rsid w:val="001140FC"/>
    <w:rsid w:val="002C4211"/>
    <w:rsid w:val="00376CF9"/>
    <w:rsid w:val="003A5A47"/>
    <w:rsid w:val="004834FB"/>
    <w:rsid w:val="004C7361"/>
    <w:rsid w:val="00562325"/>
    <w:rsid w:val="00646AA7"/>
    <w:rsid w:val="008309A6"/>
    <w:rsid w:val="008A3412"/>
    <w:rsid w:val="00BA4EC2"/>
    <w:rsid w:val="00CF5E6C"/>
    <w:rsid w:val="00DD589B"/>
    <w:rsid w:val="00FF0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888F05B"/>
  <w15:chartTrackingRefBased/>
  <w15:docId w15:val="{9BEA3DAA-5A70-41D6-8B87-CCDE42805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E6C"/>
    <w:pPr>
      <w:spacing w:before="100" w:after="200" w:line="276" w:lineRule="auto"/>
    </w:pPr>
    <w:rPr>
      <w:rFonts w:eastAsiaTheme="minorEastAsia"/>
      <w:sz w:val="20"/>
      <w:szCs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A4E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A4EC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A4EC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fod">
    <w:name w:val="footer"/>
    <w:basedOn w:val="Normal"/>
    <w:link w:val="SidefodTegn"/>
    <w:uiPriority w:val="99"/>
    <w:unhideWhenUsed/>
    <w:rsid w:val="00CF5E6C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CF5E6C"/>
    <w:rPr>
      <w:rFonts w:eastAsiaTheme="minorEastAsia"/>
      <w:sz w:val="20"/>
      <w:szCs w:val="20"/>
    </w:rPr>
  </w:style>
  <w:style w:type="table" w:styleId="Tabel-Tema">
    <w:name w:val="Table Theme"/>
    <w:basedOn w:val="Tabel-Normal"/>
    <w:uiPriority w:val="99"/>
    <w:rsid w:val="00CF5E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F5E6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F5E6C"/>
    <w:rPr>
      <w:rFonts w:ascii="Segoe UI" w:eastAsiaTheme="minorEastAsia" w:hAnsi="Segoe UI" w:cs="Segoe UI"/>
      <w:sz w:val="18"/>
      <w:szCs w:val="18"/>
    </w:rPr>
  </w:style>
  <w:style w:type="paragraph" w:styleId="Opstilling-punkttegn">
    <w:name w:val="List Bullet"/>
    <w:basedOn w:val="Normal"/>
    <w:uiPriority w:val="99"/>
    <w:semiHidden/>
    <w:unhideWhenUsed/>
    <w:rsid w:val="00BA4EC2"/>
    <w:pPr>
      <w:numPr>
        <w:numId w:val="1"/>
      </w:numPr>
      <w:contextualSpacing/>
    </w:pPr>
  </w:style>
  <w:style w:type="paragraph" w:styleId="Opstilling-talellerbogst">
    <w:name w:val="List Number"/>
    <w:basedOn w:val="Normal"/>
    <w:uiPriority w:val="99"/>
    <w:semiHidden/>
    <w:unhideWhenUsed/>
    <w:rsid w:val="00BA4EC2"/>
    <w:pPr>
      <w:numPr>
        <w:numId w:val="2"/>
      </w:numPr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BA4E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BA4EC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BA4EC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BA4EC2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A4EC2"/>
    <w:rPr>
      <w:rFonts w:eastAsiaTheme="minorEastAsia"/>
      <w:sz w:val="20"/>
      <w:szCs w:val="20"/>
    </w:rPr>
  </w:style>
  <w:style w:type="paragraph" w:customStyle="1" w:styleId="Default">
    <w:name w:val="Default"/>
    <w:rsid w:val="0056232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eafsnit">
    <w:name w:val="List Paragraph"/>
    <w:basedOn w:val="Normal"/>
    <w:uiPriority w:val="34"/>
    <w:qFormat/>
    <w:rsid w:val="00562325"/>
    <w:pPr>
      <w:spacing w:before="0" w:after="160" w:line="256" w:lineRule="auto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810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 Leth Møller</dc:creator>
  <cp:keywords/>
  <dc:description/>
  <cp:lastModifiedBy>Dina Leth Møller</cp:lastModifiedBy>
  <cp:revision>4</cp:revision>
  <cp:lastPrinted>2020-07-13T14:12:00Z</cp:lastPrinted>
  <dcterms:created xsi:type="dcterms:W3CDTF">2020-11-25T12:45:00Z</dcterms:created>
  <dcterms:modified xsi:type="dcterms:W3CDTF">2020-11-30T17:12:00Z</dcterms:modified>
</cp:coreProperties>
</file>