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1AE47" w14:textId="35CD9D82" w:rsidR="00495BE2" w:rsidRPr="00C7287A" w:rsidRDefault="00557275" w:rsidP="00495BE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7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Table S</w:t>
      </w:r>
      <w:r w:rsidR="00AC7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57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5BE2" w:rsidRPr="00C7287A">
        <w:rPr>
          <w:rFonts w:ascii="Times New Roman" w:hAnsi="Times New Roman" w:cs="Times New Roman"/>
          <w:color w:val="000000"/>
          <w:sz w:val="24"/>
          <w:szCs w:val="24"/>
        </w:rPr>
        <w:t>The interpretation of the reference intervals of the performance indices used in this study</w:t>
      </w:r>
      <w:r w:rsidR="00F413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3400"/>
        <w:gridCol w:w="4053"/>
      </w:tblGrid>
      <w:tr w:rsidR="00495BE2" w:rsidRPr="00C7287A" w14:paraId="15448017" w14:textId="77777777" w:rsidTr="004E0BD1">
        <w:tc>
          <w:tcPr>
            <w:tcW w:w="1918" w:type="dxa"/>
          </w:tcPr>
          <w:p w14:paraId="6247BA60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Performance Index</w:t>
            </w:r>
          </w:p>
        </w:tc>
        <w:tc>
          <w:tcPr>
            <w:tcW w:w="3490" w:type="dxa"/>
          </w:tcPr>
          <w:p w14:paraId="74C5D3E2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Property</w:t>
            </w:r>
          </w:p>
        </w:tc>
        <w:tc>
          <w:tcPr>
            <w:tcW w:w="4168" w:type="dxa"/>
          </w:tcPr>
          <w:p w14:paraId="645E6B3A" w14:textId="440AC8A2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interpretation </w:t>
            </w:r>
            <w:r w:rsidR="00E212A3"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the</w:t>
            </w: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reference intervals</w:t>
            </w:r>
          </w:p>
        </w:tc>
      </w:tr>
      <w:tr w:rsidR="00495BE2" w:rsidRPr="00C7287A" w14:paraId="5AE62DEC" w14:textId="77777777" w:rsidTr="004E0BD1">
        <w:tc>
          <w:tcPr>
            <w:tcW w:w="1918" w:type="dxa"/>
          </w:tcPr>
          <w:p w14:paraId="7FF2BB08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AUC ROC</w:t>
            </w:r>
          </w:p>
        </w:tc>
        <w:tc>
          <w:tcPr>
            <w:tcW w:w="3490" w:type="dxa"/>
          </w:tcPr>
          <w:p w14:paraId="1DFE2974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Balanced diagnosis accuracy</w:t>
            </w:r>
          </w:p>
        </w:tc>
        <w:tc>
          <w:tcPr>
            <w:tcW w:w="4168" w:type="dxa"/>
          </w:tcPr>
          <w:p w14:paraId="3A89113F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[0.7,0.8)               good</w:t>
            </w:r>
          </w:p>
          <w:p w14:paraId="37676A04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[0.8,0.9)       very good</w:t>
            </w:r>
          </w:p>
          <w:p w14:paraId="155AE3E9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[0.9,1.0]        excellent</w:t>
            </w:r>
          </w:p>
        </w:tc>
      </w:tr>
      <w:tr w:rsidR="00495BE2" w:rsidRPr="00C7287A" w14:paraId="4E697B24" w14:textId="77777777" w:rsidTr="004E0BD1">
        <w:tc>
          <w:tcPr>
            <w:tcW w:w="1918" w:type="dxa"/>
          </w:tcPr>
          <w:p w14:paraId="4B7C8D20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Kappa</w:t>
            </w:r>
          </w:p>
        </w:tc>
        <w:tc>
          <w:tcPr>
            <w:tcW w:w="3490" w:type="dxa"/>
          </w:tcPr>
          <w:p w14:paraId="043EEF07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 labeling agreement rate</w:t>
            </w:r>
          </w:p>
        </w:tc>
        <w:tc>
          <w:tcPr>
            <w:tcW w:w="4168" w:type="dxa"/>
          </w:tcPr>
          <w:p w14:paraId="7D649051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&lt;0.40       poor</w:t>
            </w:r>
          </w:p>
          <w:p w14:paraId="16017D26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[0.40,0.75)    fair to good</w:t>
            </w:r>
          </w:p>
          <w:p w14:paraId="522AC8E3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[0.75,1.00]   excellent</w:t>
            </w:r>
          </w:p>
        </w:tc>
      </w:tr>
      <w:tr w:rsidR="00495BE2" w:rsidRPr="00C7287A" w14:paraId="219B8621" w14:textId="77777777" w:rsidTr="004E0BD1">
        <w:tc>
          <w:tcPr>
            <w:tcW w:w="1918" w:type="dxa"/>
          </w:tcPr>
          <w:p w14:paraId="3FA5E347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MCC</w:t>
            </w:r>
          </w:p>
        </w:tc>
        <w:tc>
          <w:tcPr>
            <w:tcW w:w="3490" w:type="dxa"/>
          </w:tcPr>
          <w:p w14:paraId="5A0CF468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Correlation between predicted and observed class labels</w:t>
            </w:r>
          </w:p>
        </w:tc>
        <w:tc>
          <w:tcPr>
            <w:tcW w:w="4168" w:type="dxa"/>
          </w:tcPr>
          <w:p w14:paraId="3E091CE9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[0.0, 0.3)      negligible</w:t>
            </w:r>
          </w:p>
          <w:p w14:paraId="7EA6FC65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[0.3, 0.5)      low</w:t>
            </w:r>
          </w:p>
          <w:p w14:paraId="672DA227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[0.5, 0.7)      moderate</w:t>
            </w:r>
          </w:p>
          <w:p w14:paraId="5CB2AEEC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[0.7, 0.9)      high</w:t>
            </w:r>
          </w:p>
          <w:p w14:paraId="4DED7E22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[0.9, 1.0]      very high</w:t>
            </w:r>
          </w:p>
          <w:p w14:paraId="2B0CB57F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(-1.0,0.0)      negative (i.e. disagreement)</w:t>
            </w:r>
          </w:p>
        </w:tc>
      </w:tr>
      <w:tr w:rsidR="00495BE2" w:rsidRPr="00C7287A" w14:paraId="476CB986" w14:textId="77777777" w:rsidTr="004E0BD1">
        <w:tc>
          <w:tcPr>
            <w:tcW w:w="1918" w:type="dxa"/>
          </w:tcPr>
          <w:p w14:paraId="66757448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</w:t>
            </w:r>
          </w:p>
        </w:tc>
        <w:tc>
          <w:tcPr>
            <w:tcW w:w="3490" w:type="dxa"/>
          </w:tcPr>
          <w:p w14:paraId="42FAD542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Discriminant power</w:t>
            </w:r>
          </w:p>
        </w:tc>
        <w:tc>
          <w:tcPr>
            <w:tcW w:w="4168" w:type="dxa"/>
          </w:tcPr>
          <w:p w14:paraId="2BD41C6B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&lt;1            poor</w:t>
            </w:r>
          </w:p>
          <w:p w14:paraId="03530DBD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[1,2)        limited</w:t>
            </w:r>
          </w:p>
          <w:p w14:paraId="2442CF79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[2,3)             fair</w:t>
            </w:r>
          </w:p>
          <w:p w14:paraId="321E1732" w14:textId="77777777" w:rsidR="00495BE2" w:rsidRPr="00C7287A" w:rsidRDefault="00495BE2" w:rsidP="004E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87A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object w:dxaOrig="200" w:dyaOrig="240" w14:anchorId="067E48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1pt;height:11.85pt" o:ole="">
                  <v:imagedata r:id="rId4" o:title=""/>
                </v:shape>
                <o:OLEObject Type="Embed" ProgID="Equation.DSMT4" ShapeID="_x0000_i1025" DrawAspect="Content" ObjectID="_1667799082" r:id="rId5"/>
              </w:object>
            </w:r>
            <w:r w:rsidRPr="00C72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           good</w:t>
            </w:r>
          </w:p>
        </w:tc>
      </w:tr>
    </w:tbl>
    <w:p w14:paraId="311613C9" w14:textId="77777777" w:rsidR="00495BE2" w:rsidRPr="00C7287A" w:rsidRDefault="00495BE2" w:rsidP="00495BE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287A">
        <w:rPr>
          <w:rFonts w:ascii="Times New Roman" w:hAnsi="Times New Roman" w:cs="Times New Roman"/>
          <w:color w:val="000000"/>
          <w:sz w:val="24"/>
          <w:szCs w:val="24"/>
        </w:rPr>
        <w:t>AUC ROC: area under the receiver operating characteristic curve; Kappa: Cohen's kappa coefficient; MCC: Matthews correlation coefficient; DP: discriminant power.</w:t>
      </w:r>
    </w:p>
    <w:p w14:paraId="107FEAF2" w14:textId="77777777" w:rsidR="00643A47" w:rsidRDefault="00643A47"/>
    <w:sectPr w:rsidR="0064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Mzc3MDY0NDMxMzJR0lEKTi0uzszPAykwqQUAva+MaiwAAAA="/>
  </w:docVars>
  <w:rsids>
    <w:rsidRoot w:val="00643A47"/>
    <w:rsid w:val="00427B45"/>
    <w:rsid w:val="00495BE2"/>
    <w:rsid w:val="00557275"/>
    <w:rsid w:val="00643A47"/>
    <w:rsid w:val="00784418"/>
    <w:rsid w:val="00AC7519"/>
    <w:rsid w:val="00E212A3"/>
    <w:rsid w:val="00F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17D0"/>
  <w15:chartTrackingRefBased/>
  <w15:docId w15:val="{6D39AFAA-4190-4D06-A3FB-7C2F4EBE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E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Manager/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javan</dc:creator>
  <cp:lastModifiedBy>Mansourian</cp:lastModifiedBy>
  <cp:revision>6</cp:revision>
  <dcterms:created xsi:type="dcterms:W3CDTF">2020-10-29T17:55:00Z</dcterms:created>
  <dcterms:modified xsi:type="dcterms:W3CDTF">2020-11-25T07:31:00Z</dcterms:modified>
</cp:coreProperties>
</file>