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D3B2" w14:textId="0241C82B" w:rsidR="00B13234" w:rsidRDefault="00B13234">
      <w:pPr>
        <w:rPr>
          <w:rFonts w:ascii="Times New Roman" w:hAnsi="Times New Roman" w:cs="Times New Roman"/>
          <w:sz w:val="24"/>
          <w:szCs w:val="24"/>
        </w:rPr>
      </w:pPr>
      <w:r w:rsidRPr="00B13234">
        <w:rPr>
          <w:rFonts w:ascii="Times New Roman" w:hAnsi="Times New Roman" w:cs="Times New Roman"/>
          <w:sz w:val="24"/>
          <w:szCs w:val="24"/>
        </w:rPr>
        <w:t>Supplementary material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B13234">
        <w:rPr>
          <w:rFonts w:ascii="Times New Roman" w:hAnsi="Times New Roman" w:cs="Times New Roman"/>
          <w:sz w:val="24"/>
          <w:szCs w:val="24"/>
        </w:rPr>
        <w:t xml:space="preserve">Maximum spike protein antibody titers and number of days from the second vaccine dose to the maximum (including values converted from </w:t>
      </w:r>
      <w:r w:rsidR="00C17422">
        <w:rPr>
          <w:rFonts w:ascii="Times New Roman" w:hAnsi="Times New Roman" w:cs="Times New Roman" w:hint="eastAsia"/>
          <w:sz w:val="24"/>
          <w:szCs w:val="24"/>
        </w:rPr>
        <w:t>a</w:t>
      </w:r>
      <w:r w:rsidR="00C17422">
        <w:rPr>
          <w:rFonts w:ascii="Times New Roman" w:hAnsi="Times New Roman" w:cs="Times New Roman"/>
          <w:sz w:val="24"/>
          <w:szCs w:val="24"/>
        </w:rPr>
        <w:t xml:space="preserve">nti-S </w:t>
      </w:r>
      <w:r w:rsidRPr="00B13234">
        <w:rPr>
          <w:rFonts w:ascii="Times New Roman" w:hAnsi="Times New Roman" w:cs="Times New Roman"/>
          <w:sz w:val="24"/>
          <w:szCs w:val="24"/>
        </w:rPr>
        <w:t xml:space="preserve">IgG </w:t>
      </w:r>
      <w:r w:rsidR="00C17422">
        <w:rPr>
          <w:rFonts w:ascii="Times New Roman" w:hAnsi="Times New Roman" w:cs="Times New Roman"/>
          <w:sz w:val="24"/>
          <w:szCs w:val="24"/>
        </w:rPr>
        <w:t>antibody titers</w:t>
      </w:r>
      <w:r w:rsidRPr="00B13234">
        <w:rPr>
          <w:rFonts w:ascii="Times New Roman" w:hAnsi="Times New Roman" w:cs="Times New Roman"/>
          <w:sz w:val="24"/>
          <w:szCs w:val="24"/>
        </w:rPr>
        <w:t>)</w:t>
      </w:r>
    </w:p>
    <w:p w14:paraId="2C505D27" w14:textId="22127983" w:rsidR="00B13234" w:rsidRDefault="00B13234">
      <w:pPr>
        <w:rPr>
          <w:rFonts w:ascii="Times New Roman" w:hAnsi="Times New Roman" w:cs="Times New Roman"/>
          <w:sz w:val="24"/>
          <w:szCs w:val="24"/>
        </w:rPr>
      </w:pPr>
    </w:p>
    <w:p w14:paraId="39CC4FFC" w14:textId="434F9CD5" w:rsidR="00B13234" w:rsidRPr="00B13234" w:rsidRDefault="00284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B7002" wp14:editId="707E960E">
            <wp:extent cx="6639560" cy="5088890"/>
            <wp:effectExtent l="0" t="0" r="889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234" w:rsidRPr="00B13234" w:rsidSect="00B132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5599" w14:textId="77777777" w:rsidR="00275D9E" w:rsidRDefault="00275D9E" w:rsidP="00C0270F">
      <w:r>
        <w:separator/>
      </w:r>
    </w:p>
  </w:endnote>
  <w:endnote w:type="continuationSeparator" w:id="0">
    <w:p w14:paraId="0CA6E6C5" w14:textId="77777777" w:rsidR="00275D9E" w:rsidRDefault="00275D9E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80B9" w14:textId="77777777" w:rsidR="00275D9E" w:rsidRDefault="00275D9E" w:rsidP="00C0270F">
      <w:r>
        <w:separator/>
      </w:r>
    </w:p>
  </w:footnote>
  <w:footnote w:type="continuationSeparator" w:id="0">
    <w:p w14:paraId="189CF3F7" w14:textId="77777777" w:rsidR="00275D9E" w:rsidRDefault="00275D9E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161FCF"/>
    <w:rsid w:val="001F1E9F"/>
    <w:rsid w:val="00275D9E"/>
    <w:rsid w:val="00284963"/>
    <w:rsid w:val="006C068F"/>
    <w:rsid w:val="0096702B"/>
    <w:rsid w:val="00A1575C"/>
    <w:rsid w:val="00A51280"/>
    <w:rsid w:val="00B13234"/>
    <w:rsid w:val="00C0270F"/>
    <w:rsid w:val="00C17422"/>
    <w:rsid w:val="00C23BE5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2021-12-07T04:49:00Z</dcterms:modified>
</cp:coreProperties>
</file>