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A5A33" w14:textId="77777777" w:rsidR="002504B1" w:rsidRDefault="002504B1" w:rsidP="002504B1">
      <w:pPr>
        <w:pStyle w:val="Heading1"/>
      </w:pPr>
      <w:r>
        <w:t>Appendix A. Reproducibility Package</w:t>
      </w:r>
    </w:p>
    <w:p w14:paraId="33A31997" w14:textId="77777777" w:rsidR="002504B1" w:rsidRDefault="002504B1" w:rsidP="002504B1">
      <w:r>
        <w:t>Files supplied with this manuscript: (1) UDEF_reference_implementation.py — standalone synthetic benchmark and reference decision function; (2) UDEF_synthetic_benchmark_results.csv — per-domain benchmark metrics. Dependencies: Python 3.9+, NumPy, and pandas. Run with: python UDEF_reference_implementation.py</w:t>
      </w:r>
    </w:p>
    <w:p w14:paraId="13199624" w14:textId="77777777" w:rsidR="002504B1" w:rsidRDefault="002504B1" w:rsidP="002504B1">
      <w:pPr>
        <w:pStyle w:val="Heading1"/>
      </w:pPr>
      <w:r>
        <w:t>Appendix B. Data Dictionary for Future Real-World Studies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3292"/>
        <w:gridCol w:w="3293"/>
        <w:gridCol w:w="3293"/>
      </w:tblGrid>
      <w:tr w:rsidR="002504B1" w14:paraId="3A4B96E7" w14:textId="77777777" w:rsidTr="00C915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3" w:type="dxa"/>
            <w:shd w:val="clear" w:color="auto" w:fill="D9EAF7"/>
          </w:tcPr>
          <w:p w14:paraId="57A1A636" w14:textId="77777777" w:rsidR="002504B1" w:rsidRDefault="002504B1" w:rsidP="00C915C4">
            <w:r>
              <w:rPr>
                <w:sz w:val="16"/>
              </w:rPr>
              <w:t>Field</w:t>
            </w:r>
          </w:p>
        </w:tc>
        <w:tc>
          <w:tcPr>
            <w:tcW w:w="3293" w:type="dxa"/>
            <w:shd w:val="clear" w:color="auto" w:fill="D9EAF7"/>
          </w:tcPr>
          <w:p w14:paraId="6F725C3A" w14:textId="77777777" w:rsidR="002504B1" w:rsidRDefault="002504B1" w:rsidP="00C91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Description</w:t>
            </w:r>
          </w:p>
        </w:tc>
        <w:tc>
          <w:tcPr>
            <w:tcW w:w="3293" w:type="dxa"/>
            <w:shd w:val="clear" w:color="auto" w:fill="D9EAF7"/>
          </w:tcPr>
          <w:p w14:paraId="11490B85" w14:textId="77777777" w:rsidR="002504B1" w:rsidRDefault="002504B1" w:rsidP="00C91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Required metadata</w:t>
            </w:r>
          </w:p>
        </w:tc>
      </w:tr>
      <w:tr w:rsidR="002504B1" w14:paraId="41B54038" w14:textId="77777777" w:rsidTr="00C915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3" w:type="dxa"/>
            <w:vAlign w:val="center"/>
          </w:tcPr>
          <w:p w14:paraId="00E8EE7E" w14:textId="77777777" w:rsidR="002504B1" w:rsidRDefault="002504B1" w:rsidP="00C915C4">
            <w:r>
              <w:rPr>
                <w:sz w:val="15"/>
              </w:rPr>
              <w:t>timestamp</w:t>
            </w:r>
          </w:p>
        </w:tc>
        <w:tc>
          <w:tcPr>
            <w:tcW w:w="3293" w:type="dxa"/>
            <w:vAlign w:val="center"/>
          </w:tcPr>
          <w:p w14:paraId="031211B2" w14:textId="77777777" w:rsidR="002504B1" w:rsidRDefault="002504B1" w:rsidP="00C91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Observation time.</w:t>
            </w:r>
          </w:p>
        </w:tc>
        <w:tc>
          <w:tcPr>
            <w:tcW w:w="3293" w:type="dxa"/>
            <w:vAlign w:val="center"/>
          </w:tcPr>
          <w:p w14:paraId="673D9CCD" w14:textId="77777777" w:rsidR="002504B1" w:rsidRDefault="002504B1" w:rsidP="00C91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Timezone, clock source, synchronization status.</w:t>
            </w:r>
          </w:p>
        </w:tc>
      </w:tr>
      <w:tr w:rsidR="002504B1" w14:paraId="1985CBC6" w14:textId="77777777" w:rsidTr="00C915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3" w:type="dxa"/>
            <w:vAlign w:val="center"/>
          </w:tcPr>
          <w:p w14:paraId="616D8A78" w14:textId="77777777" w:rsidR="002504B1" w:rsidRDefault="002504B1" w:rsidP="00C915C4">
            <w:r>
              <w:rPr>
                <w:sz w:val="15"/>
              </w:rPr>
              <w:t>domain_id / batch_id</w:t>
            </w:r>
          </w:p>
        </w:tc>
        <w:tc>
          <w:tcPr>
            <w:tcW w:w="3293" w:type="dxa"/>
            <w:vAlign w:val="center"/>
          </w:tcPr>
          <w:p w14:paraId="42660D89" w14:textId="77777777" w:rsidR="002504B1" w:rsidRDefault="002504B1" w:rsidP="00C91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Domain and run/batch identifier.</w:t>
            </w:r>
          </w:p>
        </w:tc>
        <w:tc>
          <w:tcPr>
            <w:tcW w:w="3293" w:type="dxa"/>
            <w:vAlign w:val="center"/>
          </w:tcPr>
          <w:p w14:paraId="602228D8" w14:textId="77777777" w:rsidR="002504B1" w:rsidRDefault="002504B1" w:rsidP="00C91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Stable pseudonymous identifier.</w:t>
            </w:r>
          </w:p>
        </w:tc>
      </w:tr>
      <w:tr w:rsidR="002504B1" w14:paraId="5666CFA6" w14:textId="77777777" w:rsidTr="00C915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3" w:type="dxa"/>
            <w:vAlign w:val="center"/>
          </w:tcPr>
          <w:p w14:paraId="3CE73496" w14:textId="77777777" w:rsidR="002504B1" w:rsidRDefault="002504B1" w:rsidP="00C915C4">
            <w:r>
              <w:rPr>
                <w:sz w:val="15"/>
              </w:rPr>
              <w:t>process_variables</w:t>
            </w:r>
          </w:p>
        </w:tc>
        <w:tc>
          <w:tcPr>
            <w:tcW w:w="3293" w:type="dxa"/>
            <w:vAlign w:val="center"/>
          </w:tcPr>
          <w:p w14:paraId="0CD9272D" w14:textId="77777777" w:rsidR="002504B1" w:rsidRDefault="002504B1" w:rsidP="00C91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Measured process inputs and outputs.</w:t>
            </w:r>
          </w:p>
        </w:tc>
        <w:tc>
          <w:tcPr>
            <w:tcW w:w="3293" w:type="dxa"/>
            <w:vAlign w:val="center"/>
          </w:tcPr>
          <w:p w14:paraId="01C0A42C" w14:textId="77777777" w:rsidR="002504B1" w:rsidRDefault="002504B1" w:rsidP="00C91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Units, sensor ID, calibration status, sampling interval.</w:t>
            </w:r>
          </w:p>
        </w:tc>
      </w:tr>
      <w:tr w:rsidR="002504B1" w14:paraId="0FD8B19D" w14:textId="77777777" w:rsidTr="00C915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3" w:type="dxa"/>
            <w:vAlign w:val="center"/>
          </w:tcPr>
          <w:p w14:paraId="4138FED4" w14:textId="77777777" w:rsidR="002504B1" w:rsidRDefault="002504B1" w:rsidP="00C915C4">
            <w:r>
              <w:rPr>
                <w:sz w:val="15"/>
              </w:rPr>
              <w:t>control_inputs</w:t>
            </w:r>
          </w:p>
        </w:tc>
        <w:tc>
          <w:tcPr>
            <w:tcW w:w="3293" w:type="dxa"/>
            <w:vAlign w:val="center"/>
          </w:tcPr>
          <w:p w14:paraId="4294EE98" w14:textId="77777777" w:rsidR="002504B1" w:rsidRDefault="002504B1" w:rsidP="00C91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Setpoints and interventions.</w:t>
            </w:r>
          </w:p>
        </w:tc>
        <w:tc>
          <w:tcPr>
            <w:tcW w:w="3293" w:type="dxa"/>
            <w:vAlign w:val="center"/>
          </w:tcPr>
          <w:p w14:paraId="6692266B" w14:textId="77777777" w:rsidR="002504B1" w:rsidRDefault="002504B1" w:rsidP="00C91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Commanded vs actual value, operator/event ID.</w:t>
            </w:r>
          </w:p>
        </w:tc>
      </w:tr>
      <w:tr w:rsidR="002504B1" w14:paraId="109FE5B7" w14:textId="77777777" w:rsidTr="00C915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3" w:type="dxa"/>
            <w:vAlign w:val="center"/>
          </w:tcPr>
          <w:p w14:paraId="0722863E" w14:textId="77777777" w:rsidR="002504B1" w:rsidRDefault="002504B1" w:rsidP="00C915C4">
            <w:r>
              <w:rPr>
                <w:sz w:val="15"/>
              </w:rPr>
              <w:t>analytical_result</w:t>
            </w:r>
          </w:p>
        </w:tc>
        <w:tc>
          <w:tcPr>
            <w:tcW w:w="3293" w:type="dxa"/>
            <w:vAlign w:val="center"/>
          </w:tcPr>
          <w:p w14:paraId="5284A076" w14:textId="77777777" w:rsidR="002504B1" w:rsidRDefault="002504B1" w:rsidP="00C91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Assay or quality measurement.</w:t>
            </w:r>
          </w:p>
        </w:tc>
        <w:tc>
          <w:tcPr>
            <w:tcW w:w="3293" w:type="dxa"/>
            <w:vAlign w:val="center"/>
          </w:tcPr>
          <w:p w14:paraId="450CA197" w14:textId="77777777" w:rsidR="002504B1" w:rsidRDefault="002504B1" w:rsidP="00C91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Method version, instrument, dilution, replicate, unit.</w:t>
            </w:r>
          </w:p>
        </w:tc>
      </w:tr>
      <w:tr w:rsidR="002504B1" w14:paraId="580C3C75" w14:textId="77777777" w:rsidTr="00C915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3" w:type="dxa"/>
            <w:vAlign w:val="center"/>
          </w:tcPr>
          <w:p w14:paraId="613C585F" w14:textId="77777777" w:rsidR="002504B1" w:rsidRDefault="002504B1" w:rsidP="00C915C4">
            <w:r>
              <w:rPr>
                <w:sz w:val="15"/>
              </w:rPr>
              <w:t>qc_evidence</w:t>
            </w:r>
          </w:p>
        </w:tc>
        <w:tc>
          <w:tcPr>
            <w:tcW w:w="3293" w:type="dxa"/>
            <w:vAlign w:val="center"/>
          </w:tcPr>
          <w:p w14:paraId="63172BDF" w14:textId="77777777" w:rsidR="002504B1" w:rsidRDefault="002504B1" w:rsidP="00C91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Validity evidence for the measurement.</w:t>
            </w:r>
          </w:p>
        </w:tc>
        <w:tc>
          <w:tcPr>
            <w:tcW w:w="3293" w:type="dxa"/>
            <w:vAlign w:val="center"/>
          </w:tcPr>
          <w:p w14:paraId="0AFAF16B" w14:textId="77777777" w:rsidR="002504B1" w:rsidRDefault="002504B1" w:rsidP="00C91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Reference checks, recovery, blank, system suitability.</w:t>
            </w:r>
          </w:p>
        </w:tc>
      </w:tr>
      <w:tr w:rsidR="002504B1" w14:paraId="2F6E4BE4" w14:textId="77777777" w:rsidTr="00C915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3" w:type="dxa"/>
            <w:vAlign w:val="center"/>
          </w:tcPr>
          <w:p w14:paraId="6878433F" w14:textId="77777777" w:rsidR="002504B1" w:rsidRDefault="002504B1" w:rsidP="00C915C4">
            <w:r>
              <w:rPr>
                <w:sz w:val="15"/>
              </w:rPr>
              <w:t>reference_label</w:t>
            </w:r>
          </w:p>
        </w:tc>
        <w:tc>
          <w:tcPr>
            <w:tcW w:w="3293" w:type="dxa"/>
            <w:vAlign w:val="center"/>
          </w:tcPr>
          <w:p w14:paraId="68B8B38E" w14:textId="77777777" w:rsidR="002504B1" w:rsidRDefault="002504B1" w:rsidP="00C91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Adjudicated process or measurement fault label.</w:t>
            </w:r>
          </w:p>
        </w:tc>
        <w:tc>
          <w:tcPr>
            <w:tcW w:w="3293" w:type="dxa"/>
            <w:vAlign w:val="center"/>
          </w:tcPr>
          <w:p w14:paraId="10CD4F77" w14:textId="77777777" w:rsidR="002504B1" w:rsidRDefault="002504B1" w:rsidP="00C91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Label source, reviewer, confidence, adjudication date.</w:t>
            </w:r>
          </w:p>
        </w:tc>
      </w:tr>
      <w:tr w:rsidR="002504B1" w14:paraId="142E982C" w14:textId="77777777" w:rsidTr="00C915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3" w:type="dxa"/>
            <w:vAlign w:val="center"/>
          </w:tcPr>
          <w:p w14:paraId="3562447E" w14:textId="77777777" w:rsidR="002504B1" w:rsidRDefault="002504B1" w:rsidP="00C915C4">
            <w:r>
              <w:rPr>
                <w:sz w:val="15"/>
              </w:rPr>
              <w:t>decision_outcome</w:t>
            </w:r>
          </w:p>
        </w:tc>
        <w:tc>
          <w:tcPr>
            <w:tcW w:w="3293" w:type="dxa"/>
            <w:vAlign w:val="center"/>
          </w:tcPr>
          <w:p w14:paraId="15EA6760" w14:textId="77777777" w:rsidR="002504B1" w:rsidRDefault="002504B1" w:rsidP="00C91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Action and downstream outcome.</w:t>
            </w:r>
          </w:p>
        </w:tc>
        <w:tc>
          <w:tcPr>
            <w:tcW w:w="3293" w:type="dxa"/>
            <w:vAlign w:val="center"/>
          </w:tcPr>
          <w:p w14:paraId="5C8C79EE" w14:textId="77777777" w:rsidR="002504B1" w:rsidRDefault="002504B1" w:rsidP="00C91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Reason code, operator override, cost/impact where available.</w:t>
            </w:r>
          </w:p>
        </w:tc>
      </w:tr>
    </w:tbl>
    <w:p w14:paraId="5A909B5C" w14:textId="77777777" w:rsidR="002504B1" w:rsidRDefault="002504B1" w:rsidP="002504B1"/>
    <w:p w14:paraId="78A50E48" w14:textId="77777777" w:rsidR="002504B1" w:rsidRDefault="002504B1" w:rsidP="002504B1">
      <w:pPr>
        <w:pStyle w:val="Heading1"/>
      </w:pPr>
      <w:r>
        <w:t>Appendix C. Research Integrity Statement</w:t>
      </w:r>
    </w:p>
    <w:p w14:paraId="6F21D5A4" w14:textId="77777777" w:rsidR="002504B1" w:rsidRDefault="002504B1" w:rsidP="002504B1">
      <w:r>
        <w:t>All numerical results in Section 6 are generated from the explicitly described synthetic data-generating process. No real company, laboratory, patient, production line, or industrial dataset was used. The numerical findings must be labelled synthetic in any reuse, abstract, presentation, or submission. Real-world performance, novelty, and cross-industry generalizability remain to be established.</w:t>
      </w:r>
    </w:p>
    <w:p w14:paraId="2697D49A" w14:textId="77777777" w:rsidR="00DE6AE2" w:rsidRDefault="00DE6AE2"/>
    <w:sectPr w:rsidR="00DE6AE2" w:rsidSect="002504B1"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4B1"/>
    <w:rsid w:val="00151F46"/>
    <w:rsid w:val="00195413"/>
    <w:rsid w:val="002504B1"/>
    <w:rsid w:val="003A03A7"/>
    <w:rsid w:val="003D0186"/>
    <w:rsid w:val="007278E4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0F760"/>
  <w15:chartTrackingRefBased/>
  <w15:docId w15:val="{76878A41-2F38-4853-99F7-9DEB0938B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4B1"/>
    <w:pPr>
      <w:spacing w:after="100" w:line="276" w:lineRule="auto"/>
    </w:pPr>
    <w:rPr>
      <w:rFonts w:ascii="Aptos" w:eastAsiaTheme="minorEastAsia" w:hAnsi="Aptos"/>
      <w:kern w:val="0"/>
      <w:sz w:val="19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04B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4B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4B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4B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4B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4B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4B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4B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4B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4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4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4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4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4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4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4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4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4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4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0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4B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04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4B1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04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4B1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04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4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4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4B1"/>
    <w:rPr>
      <w:b/>
      <w:bCs/>
      <w:smallCaps/>
      <w:color w:val="0F4761" w:themeColor="accent1" w:themeShade="BF"/>
      <w:spacing w:val="5"/>
    </w:rPr>
  </w:style>
  <w:style w:type="table" w:styleId="LightShading-Accent1">
    <w:name w:val="Light Shading Accent 1"/>
    <w:basedOn w:val="TableNormal"/>
    <w:uiPriority w:val="60"/>
    <w:rsid w:val="002504B1"/>
    <w:pPr>
      <w:spacing w:after="0" w:line="240" w:lineRule="auto"/>
    </w:pPr>
    <w:rPr>
      <w:rFonts w:eastAsiaTheme="minorEastAsia"/>
      <w:color w:val="0F4761" w:themeColor="accent1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1439</Characters>
  <Application>Microsoft Office Word</Application>
  <DocSecurity>0</DocSecurity>
  <Lines>11</Lines>
  <Paragraphs>3</Paragraphs>
  <ScaleCrop>false</ScaleCrop>
  <Company>Springer Nature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2026-11-06T13:05:00Z</dcterms:created>
  <dcterms:modified xsi:type="dcterms:W3CDTF">2026-11-06T13:05:00Z</dcterms:modified>
</cp:coreProperties>
</file>