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b/>
          <w:bCs/>
          <w:sz w:val="24"/>
          <w:szCs w:val="32"/>
          <w:lang w:val="en-US" w:eastAsia="zh-CN"/>
        </w:rPr>
      </w:pPr>
    </w:p>
    <w:tbl>
      <w:tblPr>
        <w:tblStyle w:val="3"/>
        <w:tblpPr w:leftFromText="180" w:rightFromText="180" w:vertAnchor="text" w:horzAnchor="page" w:tblpX="3572" w:tblpY="13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3"/>
        <w:gridCol w:w="1199"/>
        <w:gridCol w:w="12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6" w:type="dxa"/>
            <w:gridSpan w:val="3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spacing w:line="240" w:lineRule="exact"/>
              <w:jc w:val="both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/>
                <w:b/>
                <w:bCs/>
                <w:sz w:val="16"/>
                <w:szCs w:val="20"/>
                <w:lang w:val="en-US" w:eastAsia="zh-CN"/>
              </w:rPr>
              <w:t>Supplementary Table 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3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</w:tcPr>
          <w:p>
            <w:pPr>
              <w:spacing w:line="240" w:lineRule="exact"/>
              <w:jc w:val="left"/>
              <w:rPr>
                <w:rFonts w:hint="default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Character</w:t>
            </w:r>
          </w:p>
        </w:tc>
        <w:tc>
          <w:tcPr>
            <w:tcW w:w="1199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</w:tcPr>
          <w:p>
            <w:pPr>
              <w:spacing w:line="240" w:lineRule="exact"/>
              <w:jc w:val="left"/>
              <w:rPr>
                <w:rFonts w:hint="default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Subgroup comparison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vertAlign w:val="superscript"/>
                <w:lang w:val="en-US" w:eastAsia="zh-CN"/>
              </w:rPr>
              <w:t>*</w:t>
            </w:r>
          </w:p>
        </w:tc>
        <w:tc>
          <w:tcPr>
            <w:tcW w:w="1264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</w:tcPr>
          <w:p>
            <w:pPr>
              <w:spacing w:line="240" w:lineRule="exact"/>
              <w:jc w:val="left"/>
              <w:rPr>
                <w:rFonts w:hint="default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p value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vertAlign w:val="superscript"/>
                <w:lang w:val="en-US" w:eastAsia="zh-CN"/>
              </w:rPr>
              <w:t>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exact"/>
              <w:jc w:val="left"/>
              <w:rPr>
                <w:rFonts w:hint="default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Tumor height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exact"/>
              <w:jc w:val="lef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 xml:space="preserve">A 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and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 xml:space="preserve"> B</w:t>
            </w:r>
          </w:p>
          <w:p>
            <w:pPr>
              <w:spacing w:line="240" w:lineRule="exact"/>
              <w:jc w:val="lef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 xml:space="preserve">A 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and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 xml:space="preserve"> D</w:t>
            </w:r>
          </w:p>
          <w:p>
            <w:pPr>
              <w:spacing w:line="240" w:lineRule="exact"/>
              <w:jc w:val="lef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 xml:space="preserve">B 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and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 xml:space="preserve"> C</w:t>
            </w:r>
          </w:p>
          <w:p>
            <w:pPr>
              <w:spacing w:line="240" w:lineRule="exact"/>
              <w:jc w:val="lef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 xml:space="preserve">C 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and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 xml:space="preserve"> D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exact"/>
              <w:jc w:val="lef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＜0.001</w:t>
            </w:r>
          </w:p>
          <w:p>
            <w:pPr>
              <w:spacing w:line="240" w:lineRule="exact"/>
              <w:jc w:val="lef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＜0.001</w:t>
            </w:r>
          </w:p>
          <w:p>
            <w:pPr>
              <w:spacing w:line="240" w:lineRule="exact"/>
              <w:jc w:val="lef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＜0.001</w:t>
            </w:r>
          </w:p>
          <w:p>
            <w:pPr>
              <w:spacing w:line="240" w:lineRule="exact"/>
              <w:jc w:val="lef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＜0.001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exact"/>
              <w:jc w:val="left"/>
              <w:rPr>
                <w:rFonts w:hint="default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age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exact"/>
              <w:jc w:val="lef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 xml:space="preserve">B 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and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 xml:space="preserve"> C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exact"/>
              <w:jc w:val="lef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0.002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exact"/>
              <w:jc w:val="left"/>
              <w:rPr>
                <w:rFonts w:hint="default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T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 xml:space="preserve"> stage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exact"/>
              <w:jc w:val="lef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 xml:space="preserve">A 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and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 xml:space="preserve"> B</w:t>
            </w:r>
          </w:p>
          <w:p>
            <w:pPr>
              <w:spacing w:line="240" w:lineRule="exact"/>
              <w:jc w:val="lef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 xml:space="preserve">A 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and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 xml:space="preserve"> D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exact"/>
              <w:jc w:val="lef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＜0.001</w:t>
            </w:r>
          </w:p>
          <w:p>
            <w:pPr>
              <w:spacing w:line="240" w:lineRule="exact"/>
              <w:jc w:val="lef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0.002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exact"/>
              <w:jc w:val="left"/>
              <w:rPr>
                <w:rFonts w:hint="default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sex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exact"/>
              <w:jc w:val="lef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 xml:space="preserve">A 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and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 xml:space="preserve"> C</w:t>
            </w:r>
          </w:p>
          <w:p>
            <w:pPr>
              <w:spacing w:line="240" w:lineRule="exact"/>
              <w:jc w:val="lef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 xml:space="preserve">B 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and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 xml:space="preserve"> C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exact"/>
              <w:jc w:val="lef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0.002</w:t>
            </w:r>
          </w:p>
          <w:p>
            <w:pPr>
              <w:spacing w:line="240" w:lineRule="exact"/>
              <w:jc w:val="lef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0.003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3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spacing w:line="240" w:lineRule="exact"/>
              <w:jc w:val="lef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-year total hospitalization cost</w:t>
            </w:r>
          </w:p>
        </w:tc>
        <w:tc>
          <w:tcPr>
            <w:tcW w:w="1199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spacing w:line="240" w:lineRule="exact"/>
              <w:jc w:val="lef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 xml:space="preserve">A 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and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 xml:space="preserve"> C</w:t>
            </w:r>
          </w:p>
          <w:p>
            <w:pPr>
              <w:spacing w:line="240" w:lineRule="exact"/>
              <w:jc w:val="lef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 xml:space="preserve">B 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and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 xml:space="preserve"> C</w:t>
            </w:r>
          </w:p>
          <w:p>
            <w:pPr>
              <w:spacing w:line="240" w:lineRule="exact"/>
              <w:jc w:val="lef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 xml:space="preserve">B 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and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 xml:space="preserve"> D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spacing w:line="240" w:lineRule="exact"/>
              <w:jc w:val="lef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＜0.001</w:t>
            </w:r>
          </w:p>
          <w:p>
            <w:pPr>
              <w:spacing w:line="240" w:lineRule="exact"/>
              <w:jc w:val="lef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＜0.001</w:t>
            </w:r>
          </w:p>
          <w:p>
            <w:pPr>
              <w:spacing w:line="240" w:lineRule="exact"/>
              <w:jc w:val="lef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0.007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b/>
          <w:bCs/>
          <w:sz w:val="24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b/>
          <w:bCs/>
          <w:sz w:val="24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b/>
          <w:bCs/>
          <w:sz w:val="24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b/>
          <w:bCs/>
          <w:sz w:val="24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b/>
          <w:bCs/>
          <w:sz w:val="24"/>
          <w:szCs w:val="32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b/>
          <w:bCs/>
          <w:sz w:val="24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b/>
          <w:bCs/>
          <w:sz w:val="24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b/>
          <w:bCs/>
          <w:sz w:val="24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b/>
          <w:bCs/>
          <w:sz w:val="24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b/>
          <w:bCs/>
          <w:sz w:val="24"/>
          <w:szCs w:val="32"/>
          <w:lang w:val="en-US"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825500</wp:posOffset>
                </wp:positionH>
                <wp:positionV relativeFrom="paragraph">
                  <wp:posOffset>153035</wp:posOffset>
                </wp:positionV>
                <wp:extent cx="3740150" cy="488950"/>
                <wp:effectExtent l="0" t="0" r="12700" b="635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0150" cy="488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/>
                                <w:sz w:val="16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  <w:lang w:val="en-US" w:eastAsia="zh-CN"/>
                              </w:rPr>
                              <w:t>*A=primary SPS group; B=primary APR group; C=nCRT+SPS group; D=nCRT+APR group</w:t>
                            </w:r>
                          </w:p>
                          <w:p>
                            <w:pPr>
                              <w:rPr>
                                <w:rFonts w:hint="default"/>
                                <w:sz w:val="16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  <w:lang w:val="en-US" w:eastAsia="zh-CN"/>
                              </w:rPr>
                              <w:t>**Two-sided α value was adjusted to 0.0083 by simple Bonferroni correction.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5pt;margin-top:12.05pt;height:38.5pt;width:294.5pt;z-index:251659264;mso-width-relative:page;mso-height-relative:page;" fillcolor="#FFFFFF [3201]" filled="t" stroked="f" coordsize="21600,21600" o:gfxdata="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OUh4uLUAAAACgEAAA8AAAAAAAAA&#10;AQAgAAAAIgAAAGRycy9kb3ducmV2LnhtbFBLAQIUABQAAAAIAIdO4kA2nb+oTgIAAJEEAAAOAAAA&#10;AAAAAAEAIAAAACMBAABkcnMvZTJvRG9jLnhtbFBLBQYAAAAABgAGAFkBAADj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/>
                          <w:sz w:val="16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6"/>
                          <w:szCs w:val="20"/>
                          <w:lang w:val="en-US" w:eastAsia="zh-CN"/>
                        </w:rPr>
                        <w:t>*A=primary SPS group; B=primary APR group; C=nCRT+SPS group; D=nCRT+APR group</w:t>
                      </w:r>
                    </w:p>
                    <w:p>
                      <w:pPr>
                        <w:rPr>
                          <w:rFonts w:hint="default"/>
                          <w:sz w:val="16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6"/>
                          <w:szCs w:val="20"/>
                          <w:lang w:val="en-US" w:eastAsia="zh-CN"/>
                        </w:rPr>
                        <w:t>**Two-sided α value was adjusted to 0.0083 by simple Bonferroni correction.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b/>
          <w:bCs/>
          <w:sz w:val="24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b/>
          <w:bCs/>
          <w:sz w:val="24"/>
          <w:szCs w:val="32"/>
          <w:lang w:val="en-US" w:eastAsia="zh-CN"/>
        </w:rPr>
      </w:pPr>
    </w:p>
    <w:tbl>
      <w:tblPr>
        <w:tblStyle w:val="3"/>
        <w:tblpPr w:leftFromText="180" w:rightFromText="180" w:vertAnchor="text" w:horzAnchor="page" w:tblpXSpec="center" w:tblpY="49"/>
        <w:tblOverlap w:val="never"/>
        <w:tblW w:w="491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2"/>
        <w:gridCol w:w="1065"/>
        <w:gridCol w:w="910"/>
        <w:gridCol w:w="642"/>
        <w:gridCol w:w="925"/>
        <w:gridCol w:w="880"/>
        <w:gridCol w:w="942"/>
        <w:gridCol w:w="933"/>
        <w:gridCol w:w="6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right w:val="nil"/>
            </w:tcBorders>
            <w:shd w:val="clear" w:color="auto" w:fill="FFFFFF"/>
          </w:tcPr>
          <w:p>
            <w:pPr>
              <w:jc w:val="left"/>
              <w:rPr>
                <w:rFonts w:hint="default" w:ascii="宋体" w:hAnsi="宋体" w:eastAsia="宋体" w:cs="宋体"/>
                <w:color w:val="000000"/>
                <w:sz w:val="10"/>
                <w:szCs w:val="1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val="en-US" w:eastAsia="zh-CN"/>
              </w:rPr>
              <w:t>Supplementary Table 2</w:t>
            </w: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Cs w:val="21"/>
                <w:lang w:val="en-US" w:eastAsia="zh-CN"/>
              </w:rPr>
              <w:t>Five-year prognosis comparison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" w:hRule="atLeast"/>
          <w:jc w:val="center"/>
        </w:trPr>
        <w:tc>
          <w:tcPr>
            <w:tcW w:w="849" w:type="pct"/>
            <w:tcBorders>
              <w:top w:val="single" w:color="auto" w:sz="12" w:space="0"/>
              <w:left w:val="nil"/>
            </w:tcBorders>
            <w:shd w:val="clear" w:color="auto" w:fill="FFFFFF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1179" w:type="pct"/>
            <w:gridSpan w:val="2"/>
            <w:tcBorders>
              <w:top w:val="single" w:color="auto" w:sz="12" w:space="0"/>
              <w:bottom w:val="single" w:color="auto" w:sz="4" w:space="0"/>
            </w:tcBorders>
            <w:shd w:val="clear" w:color="auto" w:fill="FFFFFF"/>
          </w:tcPr>
          <w:p>
            <w:pPr>
              <w:jc w:val="left"/>
              <w:rPr>
                <w:rFonts w:hint="default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group</w:t>
            </w:r>
          </w:p>
        </w:tc>
        <w:tc>
          <w:tcPr>
            <w:tcW w:w="383" w:type="pct"/>
            <w:vMerge w:val="restart"/>
            <w:tcBorders>
              <w:top w:val="single" w:color="auto" w:sz="12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p</w:t>
            </w:r>
          </w:p>
        </w:tc>
        <w:tc>
          <w:tcPr>
            <w:tcW w:w="2198" w:type="pct"/>
            <w:gridSpan w:val="4"/>
            <w:tcBorders>
              <w:top w:val="single" w:color="auto" w:sz="12" w:space="0"/>
              <w:bottom w:val="single" w:color="auto" w:sz="4" w:space="0"/>
            </w:tcBorders>
            <w:shd w:val="clear" w:color="auto" w:fill="FFFFFF"/>
          </w:tcPr>
          <w:p>
            <w:pPr>
              <w:jc w:val="left"/>
              <w:rPr>
                <w:rFonts w:hint="default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subgroup</w:t>
            </w:r>
          </w:p>
        </w:tc>
        <w:tc>
          <w:tcPr>
            <w:tcW w:w="388" w:type="pct"/>
            <w:vMerge w:val="restart"/>
            <w:tcBorders>
              <w:top w:val="single" w:color="auto" w:sz="12" w:space="0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849" w:type="pct"/>
            <w:tcBorders>
              <w:left w:val="nil"/>
              <w:bottom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636" w:type="pct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Primary surgery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（%）</w:t>
            </w:r>
          </w:p>
        </w:tc>
        <w:tc>
          <w:tcPr>
            <w:tcW w:w="543" w:type="pct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nCRT（%）</w:t>
            </w:r>
          </w:p>
        </w:tc>
        <w:tc>
          <w:tcPr>
            <w:tcW w:w="383" w:type="pct"/>
            <w:vMerge w:val="continue"/>
            <w:tcBorders>
              <w:bottom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both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A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vertAlign w:val="superscript"/>
              </w:rPr>
              <w:t>*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（%）</w:t>
            </w:r>
          </w:p>
        </w:tc>
        <w:tc>
          <w:tcPr>
            <w:tcW w:w="525" w:type="pct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both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B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vertAlign w:val="superscript"/>
              </w:rPr>
              <w:t>*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（%）</w:t>
            </w:r>
          </w:p>
        </w:tc>
        <w:tc>
          <w:tcPr>
            <w:tcW w:w="562" w:type="pct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both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C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vertAlign w:val="superscript"/>
              </w:rPr>
              <w:t>*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（%）</w:t>
            </w:r>
          </w:p>
        </w:tc>
        <w:tc>
          <w:tcPr>
            <w:tcW w:w="557" w:type="pct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both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D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vertAlign w:val="superscript"/>
              </w:rPr>
              <w:t>*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（%）</w:t>
            </w:r>
          </w:p>
        </w:tc>
        <w:tc>
          <w:tcPr>
            <w:tcW w:w="388" w:type="pct"/>
            <w:vMerge w:val="continue"/>
            <w:tcBorders>
              <w:bottom w:val="single" w:color="auto" w:sz="4" w:space="0"/>
              <w:right w:val="nil"/>
            </w:tcBorders>
            <w:shd w:val="clear" w:color="auto" w:fill="FFFFFF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" w:hRule="atLeast"/>
          <w:jc w:val="center"/>
        </w:trPr>
        <w:tc>
          <w:tcPr>
            <w:tcW w:w="849" w:type="pct"/>
            <w:tcBorders>
              <w:top w:val="single" w:color="auto" w:sz="4" w:space="0"/>
              <w:left w:val="nil"/>
            </w:tcBorders>
            <w:shd w:val="clear" w:color="auto" w:fill="FFFFFF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DFS</w:t>
            </w:r>
          </w:p>
        </w:tc>
        <w:tc>
          <w:tcPr>
            <w:tcW w:w="1179" w:type="pct"/>
            <w:gridSpan w:val="2"/>
            <w:tcBorders>
              <w:top w:val="single" w:color="auto" w:sz="4" w:space="0"/>
            </w:tcBorders>
            <w:shd w:val="clear" w:color="auto" w:fill="FFFFFF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383" w:type="pct"/>
            <w:vMerge w:val="restart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0.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558</w:t>
            </w:r>
          </w:p>
        </w:tc>
        <w:tc>
          <w:tcPr>
            <w:tcW w:w="552" w:type="pct"/>
            <w:tcBorders>
              <w:top w:val="single" w:color="auto" w:sz="4" w:space="0"/>
            </w:tcBorders>
            <w:shd w:val="clear" w:color="auto" w:fill="FFFFFF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525" w:type="pct"/>
            <w:tcBorders>
              <w:top w:val="single" w:color="auto" w:sz="4" w:space="0"/>
            </w:tcBorders>
            <w:shd w:val="clear" w:color="auto" w:fill="FFFFFF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562" w:type="pct"/>
            <w:tcBorders>
              <w:top w:val="single" w:color="auto" w:sz="4" w:space="0"/>
            </w:tcBorders>
            <w:shd w:val="clear" w:color="auto" w:fill="FFFFFF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557" w:type="pct"/>
            <w:tcBorders>
              <w:top w:val="single" w:color="auto" w:sz="4" w:space="0"/>
            </w:tcBorders>
            <w:shd w:val="clear" w:color="auto" w:fill="FFFFFF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388" w:type="pct"/>
            <w:vMerge w:val="restart"/>
            <w:tcBorders>
              <w:top w:val="single" w:color="auto" w:sz="4" w:space="0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0.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230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9" w:type="pct"/>
            <w:tcBorders>
              <w:left w:val="nil"/>
            </w:tcBorders>
            <w:shd w:val="clear" w:color="auto" w:fill="FFFFFF"/>
          </w:tcPr>
          <w:p>
            <w:pPr>
              <w:ind w:firstLine="160" w:firstLineChars="100"/>
              <w:jc w:val="left"/>
              <w:rPr>
                <w:rFonts w:hint="default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Yes</w:t>
            </w:r>
          </w:p>
        </w:tc>
        <w:tc>
          <w:tcPr>
            <w:tcW w:w="636" w:type="pct"/>
            <w:shd w:val="clear" w:color="auto" w:fill="FFFFFF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110（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55.8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）</w:t>
            </w:r>
          </w:p>
        </w:tc>
        <w:tc>
          <w:tcPr>
            <w:tcW w:w="543" w:type="pct"/>
            <w:shd w:val="clear" w:color="auto" w:fill="FFFFFF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56（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52.3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）</w:t>
            </w:r>
          </w:p>
        </w:tc>
        <w:tc>
          <w:tcPr>
            <w:tcW w:w="383" w:type="pct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552" w:type="pct"/>
            <w:shd w:val="clear" w:color="auto" w:fill="FFFFFF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</w:rPr>
              <w:t>54（</w:t>
            </w: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56.3</w:t>
            </w:r>
            <w:r>
              <w:rPr>
                <w:rFonts w:hint="eastAsia" w:ascii="宋体" w:hAnsi="宋体" w:eastAsia="宋体" w:cs="宋体"/>
                <w:sz w:val="16"/>
                <w:szCs w:val="16"/>
              </w:rPr>
              <w:t>）</w:t>
            </w:r>
          </w:p>
        </w:tc>
        <w:tc>
          <w:tcPr>
            <w:tcW w:w="525" w:type="pct"/>
            <w:shd w:val="clear" w:color="auto" w:fill="FFFFFF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</w:rPr>
              <w:t>56（</w:t>
            </w: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55.5</w:t>
            </w:r>
            <w:r>
              <w:rPr>
                <w:rFonts w:hint="eastAsia" w:ascii="宋体" w:hAnsi="宋体" w:eastAsia="宋体" w:cs="宋体"/>
                <w:sz w:val="16"/>
                <w:szCs w:val="16"/>
              </w:rPr>
              <w:t>）</w:t>
            </w:r>
          </w:p>
        </w:tc>
        <w:tc>
          <w:tcPr>
            <w:tcW w:w="562" w:type="pct"/>
            <w:shd w:val="clear" w:color="auto" w:fill="FFFFFF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</w:rPr>
              <w:t>38（</w:t>
            </w: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46.9</w:t>
            </w:r>
            <w:r>
              <w:rPr>
                <w:rFonts w:hint="eastAsia" w:ascii="宋体" w:hAnsi="宋体" w:eastAsia="宋体" w:cs="宋体"/>
                <w:sz w:val="16"/>
                <w:szCs w:val="16"/>
              </w:rPr>
              <w:t>）</w:t>
            </w:r>
          </w:p>
        </w:tc>
        <w:tc>
          <w:tcPr>
            <w:tcW w:w="557" w:type="pct"/>
            <w:shd w:val="clear" w:color="auto" w:fill="FFFFFF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</w:rPr>
              <w:t>18（</w:t>
            </w: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69.2</w:t>
            </w:r>
            <w:r>
              <w:rPr>
                <w:rFonts w:hint="eastAsia" w:ascii="宋体" w:hAnsi="宋体" w:eastAsia="宋体" w:cs="宋体"/>
                <w:sz w:val="16"/>
                <w:szCs w:val="16"/>
              </w:rPr>
              <w:t>）</w:t>
            </w:r>
          </w:p>
        </w:tc>
        <w:tc>
          <w:tcPr>
            <w:tcW w:w="388" w:type="pct"/>
            <w:vMerge w:val="continue"/>
            <w:tcBorders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9" w:type="pct"/>
            <w:tcBorders>
              <w:left w:val="nil"/>
            </w:tcBorders>
            <w:shd w:val="clear" w:color="auto" w:fill="FFFFFF"/>
          </w:tcPr>
          <w:p>
            <w:pPr>
              <w:ind w:firstLine="160" w:firstLineChars="100"/>
              <w:jc w:val="left"/>
              <w:rPr>
                <w:rFonts w:hint="default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No</w:t>
            </w:r>
          </w:p>
        </w:tc>
        <w:tc>
          <w:tcPr>
            <w:tcW w:w="636" w:type="pct"/>
            <w:shd w:val="clear" w:color="auto" w:fill="FFFFFF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87（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44.2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）</w:t>
            </w:r>
          </w:p>
        </w:tc>
        <w:tc>
          <w:tcPr>
            <w:tcW w:w="543" w:type="pct"/>
            <w:shd w:val="clear" w:color="auto" w:fill="FFFFFF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51（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47.7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）</w:t>
            </w:r>
          </w:p>
        </w:tc>
        <w:tc>
          <w:tcPr>
            <w:tcW w:w="383" w:type="pct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552" w:type="pct"/>
            <w:shd w:val="clear" w:color="auto" w:fill="FFFFFF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</w:rPr>
              <w:t>42（</w:t>
            </w: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43.7</w:t>
            </w:r>
            <w:r>
              <w:rPr>
                <w:rFonts w:hint="eastAsia" w:ascii="宋体" w:hAnsi="宋体" w:eastAsia="宋体" w:cs="宋体"/>
                <w:sz w:val="16"/>
                <w:szCs w:val="16"/>
              </w:rPr>
              <w:t>）</w:t>
            </w:r>
          </w:p>
        </w:tc>
        <w:tc>
          <w:tcPr>
            <w:tcW w:w="525" w:type="pct"/>
            <w:shd w:val="clear" w:color="auto" w:fill="FFFFFF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</w:rPr>
              <w:t>45（</w:t>
            </w: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44.5</w:t>
            </w:r>
            <w:r>
              <w:rPr>
                <w:rFonts w:hint="eastAsia" w:ascii="宋体" w:hAnsi="宋体" w:eastAsia="宋体" w:cs="宋体"/>
                <w:sz w:val="16"/>
                <w:szCs w:val="16"/>
              </w:rPr>
              <w:t>）</w:t>
            </w:r>
          </w:p>
        </w:tc>
        <w:tc>
          <w:tcPr>
            <w:tcW w:w="562" w:type="pct"/>
            <w:shd w:val="clear" w:color="auto" w:fill="FFFFFF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</w:rPr>
              <w:t>43（</w:t>
            </w: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53.1</w:t>
            </w:r>
            <w:r>
              <w:rPr>
                <w:rFonts w:hint="eastAsia" w:ascii="宋体" w:hAnsi="宋体" w:eastAsia="宋体" w:cs="宋体"/>
                <w:sz w:val="16"/>
                <w:szCs w:val="16"/>
              </w:rPr>
              <w:t>）</w:t>
            </w:r>
          </w:p>
        </w:tc>
        <w:tc>
          <w:tcPr>
            <w:tcW w:w="557" w:type="pct"/>
            <w:shd w:val="clear" w:color="auto" w:fill="FFFFFF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</w:rPr>
              <w:t>8（</w:t>
            </w: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>30.8</w:t>
            </w:r>
            <w:r>
              <w:rPr>
                <w:rFonts w:hint="eastAsia" w:ascii="宋体" w:hAnsi="宋体" w:eastAsia="宋体" w:cs="宋体"/>
                <w:sz w:val="16"/>
                <w:szCs w:val="16"/>
              </w:rPr>
              <w:t>）</w:t>
            </w:r>
          </w:p>
        </w:tc>
        <w:tc>
          <w:tcPr>
            <w:tcW w:w="388" w:type="pct"/>
            <w:vMerge w:val="continue"/>
            <w:tcBorders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9" w:type="pct"/>
            <w:tcBorders>
              <w:left w:val="nil"/>
            </w:tcBorders>
            <w:shd w:val="clear" w:color="auto" w:fill="FFFFFF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LR</w:t>
            </w:r>
          </w:p>
        </w:tc>
        <w:tc>
          <w:tcPr>
            <w:tcW w:w="636" w:type="pct"/>
            <w:shd w:val="clear" w:color="auto" w:fill="FFFFFF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543" w:type="pct"/>
            <w:shd w:val="clear" w:color="auto" w:fill="FFFFFF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383" w:type="pct"/>
            <w:vMerge w:val="restart"/>
            <w:shd w:val="clear" w:color="auto" w:fill="FFFFFF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0.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147</w:t>
            </w:r>
          </w:p>
        </w:tc>
        <w:tc>
          <w:tcPr>
            <w:tcW w:w="552" w:type="pct"/>
            <w:shd w:val="clear" w:color="auto" w:fill="FFFFFF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525" w:type="pct"/>
            <w:shd w:val="clear" w:color="auto" w:fill="FFFFFF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562" w:type="pct"/>
            <w:shd w:val="clear" w:color="auto" w:fill="FFFFFF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557" w:type="pct"/>
            <w:shd w:val="clear" w:color="auto" w:fill="FFFFFF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388" w:type="pct"/>
            <w:vMerge w:val="restart"/>
            <w:tcBorders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0.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573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9" w:type="pct"/>
            <w:tcBorders>
              <w:left w:val="nil"/>
            </w:tcBorders>
            <w:shd w:val="clear" w:color="auto" w:fill="FFFFFF"/>
          </w:tcPr>
          <w:p>
            <w:pPr>
              <w:ind w:firstLine="160" w:firstLineChars="100"/>
              <w:jc w:val="left"/>
              <w:rPr>
                <w:rFonts w:hint="default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Yes</w:t>
            </w:r>
          </w:p>
        </w:tc>
        <w:tc>
          <w:tcPr>
            <w:tcW w:w="636" w:type="pct"/>
            <w:shd w:val="clear" w:color="auto" w:fill="FFFFFF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30（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15.2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）</w:t>
            </w:r>
          </w:p>
        </w:tc>
        <w:tc>
          <w:tcPr>
            <w:tcW w:w="543" w:type="pct"/>
            <w:shd w:val="clear" w:color="auto" w:fill="FFFFFF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10（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9.4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）</w:t>
            </w:r>
          </w:p>
        </w:tc>
        <w:tc>
          <w:tcPr>
            <w:tcW w:w="383" w:type="pct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552" w:type="pct"/>
            <w:shd w:val="clear" w:color="auto" w:fill="FFFFFF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14（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4.6）</w:t>
            </w:r>
          </w:p>
        </w:tc>
        <w:tc>
          <w:tcPr>
            <w:tcW w:w="525" w:type="pct"/>
            <w:shd w:val="clear" w:color="auto" w:fill="FFFFFF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16（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15.8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）</w:t>
            </w:r>
          </w:p>
        </w:tc>
        <w:tc>
          <w:tcPr>
            <w:tcW w:w="562" w:type="pct"/>
            <w:shd w:val="clear" w:color="auto" w:fill="FFFFFF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8（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9.9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）</w:t>
            </w:r>
          </w:p>
        </w:tc>
        <w:tc>
          <w:tcPr>
            <w:tcW w:w="557" w:type="pct"/>
            <w:shd w:val="clear" w:color="auto" w:fill="FFFFFF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2（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7.7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）</w:t>
            </w:r>
          </w:p>
        </w:tc>
        <w:tc>
          <w:tcPr>
            <w:tcW w:w="388" w:type="pct"/>
            <w:vMerge w:val="continue"/>
            <w:tcBorders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9" w:type="pct"/>
            <w:tcBorders>
              <w:left w:val="nil"/>
            </w:tcBorders>
            <w:shd w:val="clear" w:color="auto" w:fill="FFFFFF"/>
          </w:tcPr>
          <w:p>
            <w:pPr>
              <w:ind w:firstLine="160" w:firstLineChars="100"/>
              <w:jc w:val="left"/>
              <w:rPr>
                <w:rFonts w:hint="default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No</w:t>
            </w:r>
          </w:p>
        </w:tc>
        <w:tc>
          <w:tcPr>
            <w:tcW w:w="636" w:type="pct"/>
            <w:shd w:val="clear" w:color="auto" w:fill="FFFFFF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167（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84.8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）</w:t>
            </w:r>
          </w:p>
        </w:tc>
        <w:tc>
          <w:tcPr>
            <w:tcW w:w="543" w:type="pct"/>
            <w:shd w:val="clear" w:color="auto" w:fill="FFFFFF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97（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90.6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）</w:t>
            </w:r>
          </w:p>
        </w:tc>
        <w:tc>
          <w:tcPr>
            <w:tcW w:w="383" w:type="pct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552" w:type="pct"/>
            <w:shd w:val="clear" w:color="auto" w:fill="FFFFFF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82（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85.4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）</w:t>
            </w:r>
          </w:p>
        </w:tc>
        <w:tc>
          <w:tcPr>
            <w:tcW w:w="525" w:type="pct"/>
            <w:shd w:val="clear" w:color="auto" w:fill="FFFFFF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85（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84.2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）</w:t>
            </w:r>
          </w:p>
        </w:tc>
        <w:tc>
          <w:tcPr>
            <w:tcW w:w="562" w:type="pct"/>
            <w:shd w:val="clear" w:color="auto" w:fill="FFFFFF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73（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90.1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）</w:t>
            </w:r>
          </w:p>
        </w:tc>
        <w:tc>
          <w:tcPr>
            <w:tcW w:w="557" w:type="pct"/>
            <w:shd w:val="clear" w:color="auto" w:fill="FFFFFF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24（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92.3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）</w:t>
            </w:r>
          </w:p>
        </w:tc>
        <w:tc>
          <w:tcPr>
            <w:tcW w:w="388" w:type="pct"/>
            <w:vMerge w:val="continue"/>
            <w:tcBorders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b/>
          <w:bCs/>
          <w:sz w:val="24"/>
          <w:szCs w:val="32"/>
          <w:lang w:val="en-US"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419735</wp:posOffset>
                </wp:positionH>
                <wp:positionV relativeFrom="paragraph">
                  <wp:posOffset>2108200</wp:posOffset>
                </wp:positionV>
                <wp:extent cx="5009515" cy="513715"/>
                <wp:effectExtent l="0" t="0" r="635" b="635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9515" cy="5137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宋体" w:hAnsi="宋体" w:eastAsia="宋体" w:cs="宋体"/>
                                <w:i/>
                                <w:iCs/>
                                <w:color w:val="000000"/>
                                <w:sz w:val="16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  <w:lang w:val="en-US" w:eastAsia="zh-CN"/>
                              </w:rPr>
                              <w:t>*A=primary SPS group; B=primary APR group; C=nCRT+SPS group; D=nCRT+APR group</w:t>
                            </w:r>
                          </w:p>
                          <w:p>
                            <w:pPr>
                              <w:rPr>
                                <w:rFonts w:hint="default"/>
                                <w:i w:val="0"/>
                                <w:iCs w:val="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  <w:lang w:val="en-US" w:eastAsia="zh-CN"/>
                              </w:rPr>
                              <w:t>Abbreviations: nCRT=neoadjuvant chemoradiotherapy; DFS=disease free survival; LR=local recurrence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.05pt;margin-top:166pt;height:40.45pt;width:394.45pt;z-index:251660288;mso-width-relative:page;mso-height-relative:page;" fillcolor="#FFFFFF [3201]" filled="t" stroked="f" coordsize="21600,21600" o:gfxdata="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Bsyi0u1gAAAAoBAAAPAAAA&#10;AAAAAAEAIAAAACIAAABkcnMvZG93bnJldi54bWxQSwECFAAUAAAACACHTuJAdy35llACAACRBAAA&#10;DgAAAAAAAAABACAAAAAlAQAAZHJzL2Uyb0RvYy54bWxQSwUGAAAAAAYABgBZAQAA5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宋体" w:hAnsi="宋体" w:eastAsia="宋体" w:cs="宋体"/>
                          <w:i/>
                          <w:iCs/>
                          <w:color w:val="000000"/>
                          <w:sz w:val="16"/>
                          <w:szCs w:val="16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6"/>
                          <w:szCs w:val="20"/>
                          <w:lang w:val="en-US" w:eastAsia="zh-CN"/>
                        </w:rPr>
                        <w:t>*A=primary SPS group; B=primary APR group; C=nCRT+SPS group; D=nCRT+APR group</w:t>
                      </w:r>
                    </w:p>
                    <w:p>
                      <w:pPr>
                        <w:rPr>
                          <w:rFonts w:hint="default"/>
                          <w:i w:val="0"/>
                          <w:iCs w:val="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6"/>
                          <w:szCs w:val="20"/>
                          <w:lang w:val="en-US" w:eastAsia="zh-CN"/>
                        </w:rPr>
                        <w:t>Abbreviations: nCRT=neoadjuvant chemoradiotherapy; DFS=disease free survival; LR=local recurrence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b/>
          <w:bCs/>
          <w:sz w:val="24"/>
          <w:szCs w:val="32"/>
          <w:lang w:val="en-US" w:eastAsia="zh-CN"/>
        </w:rPr>
      </w:pPr>
    </w:p>
    <w:p>
      <w:pPr>
        <w:rPr>
          <w:rFonts w:hint="default"/>
          <w:b/>
          <w:bCs/>
          <w:sz w:val="24"/>
          <w:szCs w:val="32"/>
          <w:lang w:val="en-US" w:eastAsia="zh-CN"/>
        </w:rPr>
      </w:pPr>
      <w:r>
        <w:rPr>
          <w:rFonts w:hint="default"/>
          <w:b/>
          <w:bCs/>
          <w:sz w:val="24"/>
          <w:szCs w:val="32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b/>
          <w:bCs/>
          <w:sz w:val="24"/>
          <w:szCs w:val="32"/>
          <w:lang w:val="en-US" w:eastAsia="zh-CN"/>
        </w:rPr>
      </w:pPr>
    </w:p>
    <w:tbl>
      <w:tblPr>
        <w:tblStyle w:val="3"/>
        <w:tblpPr w:leftFromText="180" w:rightFromText="180" w:vertAnchor="text" w:horzAnchor="page" w:tblpX="1925" w:tblpY="182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3"/>
        <w:gridCol w:w="802"/>
        <w:gridCol w:w="801"/>
        <w:gridCol w:w="487"/>
        <w:gridCol w:w="801"/>
        <w:gridCol w:w="802"/>
        <w:gridCol w:w="801"/>
        <w:gridCol w:w="801"/>
        <w:gridCol w:w="5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  <w:jc w:val="center"/>
        </w:trPr>
        <w:tc>
          <w:tcPr>
            <w:tcW w:w="0" w:type="auto"/>
            <w:gridSpan w:val="9"/>
            <w:tcBorders>
              <w:top w:val="nil"/>
              <w:left w:val="nil"/>
              <w:right w:val="nil"/>
            </w:tcBorders>
            <w:shd w:val="clear" w:color="auto" w:fill="FFFFFF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Cs w:val="21"/>
                <w:lang w:val="en-US" w:eastAsia="zh-CN"/>
              </w:rPr>
              <w:t xml:space="preserve">Supplementary Table 3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Cs w:val="21"/>
                <w:lang w:val="en-US" w:eastAsia="zh-CN"/>
              </w:rPr>
              <w:t>Baseline characteristics of QoL analysis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nil"/>
            </w:tcBorders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gridSpan w:val="2"/>
            <w:tcBorders>
              <w:top w:val="single" w:color="auto" w:sz="12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160" w:lineRule="exact"/>
              <w:jc w:val="both"/>
              <w:rPr>
                <w:rFonts w:hint="default" w:ascii="宋体" w:hAnsi="宋体" w:eastAsia="宋体" w:cs="宋体"/>
                <w:color w:val="000000"/>
                <w:sz w:val="10"/>
                <w:szCs w:val="1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  <w:lang w:val="en-US" w:eastAsia="zh-CN"/>
              </w:rPr>
              <w:t>group</w:t>
            </w:r>
          </w:p>
        </w:tc>
        <w:tc>
          <w:tcPr>
            <w:tcW w:w="0" w:type="auto"/>
            <w:vMerge w:val="restart"/>
            <w:tcBorders>
              <w:top w:val="single" w:color="auto" w:sz="12" w:space="0"/>
            </w:tcBorders>
            <w:shd w:val="clear" w:color="auto" w:fill="FFFFFF"/>
            <w:vAlign w:val="center"/>
          </w:tcPr>
          <w:p>
            <w:pPr>
              <w:spacing w:line="160" w:lineRule="exact"/>
              <w:jc w:val="both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p</w:t>
            </w:r>
          </w:p>
        </w:tc>
        <w:tc>
          <w:tcPr>
            <w:tcW w:w="0" w:type="auto"/>
            <w:gridSpan w:val="4"/>
            <w:tcBorders>
              <w:top w:val="single" w:color="auto" w:sz="12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160" w:lineRule="exact"/>
              <w:jc w:val="both"/>
              <w:rPr>
                <w:rFonts w:hint="default" w:ascii="宋体" w:hAnsi="宋体" w:eastAsia="宋体" w:cs="宋体"/>
                <w:color w:val="000000"/>
                <w:sz w:val="10"/>
                <w:szCs w:val="1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  <w:lang w:val="en-US" w:eastAsia="zh-CN"/>
              </w:rPr>
              <w:t>subgroup</w:t>
            </w:r>
          </w:p>
        </w:tc>
        <w:tc>
          <w:tcPr>
            <w:tcW w:w="0" w:type="auto"/>
            <w:vMerge w:val="restart"/>
            <w:tcBorders>
              <w:top w:val="single" w:color="auto" w:sz="12" w:space="0"/>
              <w:right w:val="nil"/>
            </w:tcBorders>
            <w:shd w:val="clear" w:color="auto" w:fill="FFFFFF"/>
            <w:vAlign w:val="center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0" w:type="auto"/>
            <w:tcBorders>
              <w:left w:val="nil"/>
              <w:bottom w:val="single" w:color="auto" w:sz="4" w:space="0"/>
            </w:tcBorders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160" w:lineRule="exact"/>
              <w:jc w:val="both"/>
              <w:rPr>
                <w:rFonts w:hint="eastAsia" w:ascii="宋体" w:hAnsi="宋体" w:eastAsia="宋体" w:cs="宋体"/>
                <w:color w:val="000000"/>
                <w:sz w:val="10"/>
                <w:szCs w:val="1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  <w:lang w:val="en-US" w:eastAsia="zh-CN"/>
              </w:rPr>
              <w:t>Primary</w:t>
            </w:r>
          </w:p>
          <w:p>
            <w:pPr>
              <w:spacing w:line="160" w:lineRule="exact"/>
              <w:jc w:val="both"/>
              <w:rPr>
                <w:rFonts w:hint="default" w:ascii="宋体" w:hAnsi="宋体" w:eastAsia="宋体" w:cs="宋体"/>
                <w:color w:val="000000"/>
                <w:sz w:val="10"/>
                <w:szCs w:val="1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  <w:lang w:val="en-US" w:eastAsia="zh-CN"/>
              </w:rPr>
              <w:t>surgery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160" w:lineRule="exact"/>
              <w:jc w:val="both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nCRT</w:t>
            </w:r>
          </w:p>
        </w:tc>
        <w:tc>
          <w:tcPr>
            <w:tcW w:w="0" w:type="auto"/>
            <w:vMerge w:val="continue"/>
            <w:tcBorders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160" w:lineRule="exact"/>
              <w:jc w:val="both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160" w:lineRule="exact"/>
              <w:jc w:val="both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A</w:t>
            </w: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160" w:lineRule="exact"/>
              <w:jc w:val="both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B</w:t>
            </w: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160" w:lineRule="exact"/>
              <w:jc w:val="both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C</w:t>
            </w: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spacing w:line="160" w:lineRule="exact"/>
              <w:jc w:val="both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D</w:t>
            </w: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  <w:vertAlign w:val="superscript"/>
              </w:rPr>
              <w:t>*</w:t>
            </w:r>
          </w:p>
        </w:tc>
        <w:tc>
          <w:tcPr>
            <w:tcW w:w="0" w:type="auto"/>
            <w:vMerge w:val="continue"/>
            <w:tcBorders>
              <w:bottom w:val="single" w:color="auto" w:sz="4" w:space="0"/>
              <w:right w:val="nil"/>
            </w:tcBorders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auto" w:sz="4" w:space="0"/>
              <w:left w:val="nil"/>
            </w:tcBorders>
            <w:shd w:val="clear" w:color="auto" w:fill="FFFFFF"/>
          </w:tcPr>
          <w:p>
            <w:pPr>
              <w:spacing w:line="160" w:lineRule="exact"/>
              <w:jc w:val="left"/>
              <w:rPr>
                <w:rFonts w:hint="default" w:ascii="宋体" w:hAnsi="宋体" w:eastAsia="宋体" w:cs="宋体"/>
                <w:color w:val="000000"/>
                <w:sz w:val="10"/>
                <w:szCs w:val="1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  <w:lang w:val="en-US" w:eastAsia="zh-CN"/>
              </w:rPr>
              <w:t>Sex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</w:tcBorders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 w:val="restart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0.067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 w:val="restart"/>
            <w:tcBorders>
              <w:top w:val="single" w:color="auto" w:sz="4" w:space="0"/>
              <w:right w:val="nil"/>
            </w:tcBorders>
            <w:shd w:val="clear" w:color="auto" w:fill="FFFFFF"/>
            <w:vAlign w:val="center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0.123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left w:val="nil"/>
            </w:tcBorders>
            <w:shd w:val="clear" w:color="auto" w:fill="FFFFFF"/>
          </w:tcPr>
          <w:p>
            <w:pPr>
              <w:spacing w:line="160" w:lineRule="exact"/>
              <w:jc w:val="left"/>
              <w:rPr>
                <w:rFonts w:hint="default" w:ascii="宋体" w:hAnsi="宋体" w:eastAsia="宋体" w:cs="宋体"/>
                <w:color w:val="000000"/>
                <w:sz w:val="10"/>
                <w:szCs w:val="1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  <w:lang w:val="en-US" w:eastAsia="zh-CN"/>
              </w:rPr>
              <w:t xml:space="preserve"> male</w:t>
            </w: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46（55.4%）</w:t>
            </w: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36（72.0%）</w:t>
            </w:r>
          </w:p>
        </w:tc>
        <w:tc>
          <w:tcPr>
            <w:tcW w:w="0" w:type="auto"/>
            <w:vMerge w:val="continue"/>
            <w:shd w:val="clear" w:color="auto" w:fill="FFFFFF"/>
            <w:vAlign w:val="center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22（52.4%）</w:t>
            </w: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24（58.5%）</w:t>
            </w: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28（77.8%）</w:t>
            </w: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8（57.1%）</w:t>
            </w:r>
          </w:p>
        </w:tc>
        <w:tc>
          <w:tcPr>
            <w:tcW w:w="0" w:type="auto"/>
            <w:vMerge w:val="continue"/>
            <w:tcBorders>
              <w:right w:val="nil"/>
            </w:tcBorders>
            <w:shd w:val="clear" w:color="auto" w:fill="FFFFFF"/>
            <w:vAlign w:val="center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left w:val="nil"/>
            </w:tcBorders>
            <w:shd w:val="clear" w:color="auto" w:fill="FFFFFF"/>
          </w:tcPr>
          <w:p>
            <w:pPr>
              <w:spacing w:line="160" w:lineRule="exact"/>
              <w:jc w:val="left"/>
              <w:rPr>
                <w:rFonts w:hint="default" w:ascii="宋体" w:hAnsi="宋体" w:eastAsia="宋体" w:cs="宋体"/>
                <w:color w:val="000000"/>
                <w:sz w:val="10"/>
                <w:szCs w:val="1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  <w:lang w:val="en-US" w:eastAsia="zh-CN"/>
              </w:rPr>
              <w:t xml:space="preserve"> female</w:t>
            </w: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37（44.6%）</w:t>
            </w: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14（28.0%）</w:t>
            </w:r>
          </w:p>
        </w:tc>
        <w:tc>
          <w:tcPr>
            <w:tcW w:w="0" w:type="auto"/>
            <w:vMerge w:val="continue"/>
            <w:shd w:val="clear" w:color="auto" w:fill="FFFFFF"/>
            <w:vAlign w:val="center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20（47.6%）</w:t>
            </w: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17（41.5%）</w:t>
            </w: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8（22.2%）</w:t>
            </w: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6（42.9%）</w:t>
            </w:r>
          </w:p>
        </w:tc>
        <w:tc>
          <w:tcPr>
            <w:tcW w:w="0" w:type="auto"/>
            <w:vMerge w:val="continue"/>
            <w:tcBorders>
              <w:right w:val="nil"/>
            </w:tcBorders>
            <w:shd w:val="clear" w:color="auto" w:fill="FFFFFF"/>
            <w:vAlign w:val="center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left w:val="nil"/>
            </w:tcBorders>
            <w:shd w:val="clear" w:color="auto" w:fill="FFFFFF"/>
          </w:tcPr>
          <w:p>
            <w:pPr>
              <w:spacing w:line="160" w:lineRule="exact"/>
              <w:jc w:val="left"/>
              <w:rPr>
                <w:rFonts w:hint="default" w:ascii="宋体" w:hAnsi="宋体" w:eastAsia="宋体" w:cs="宋体"/>
                <w:color w:val="000000"/>
                <w:sz w:val="10"/>
                <w:szCs w:val="1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T</w:t>
            </w: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  <w:lang w:val="en-US" w:eastAsia="zh-CN"/>
              </w:rPr>
              <w:t xml:space="preserve"> stage</w:t>
            </w: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 w:val="restart"/>
            <w:shd w:val="clear" w:color="auto" w:fill="FFFFFF"/>
            <w:vAlign w:val="center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0.057</w:t>
            </w: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 w:val="restart"/>
            <w:tcBorders>
              <w:right w:val="nil"/>
            </w:tcBorders>
            <w:shd w:val="clear" w:color="auto" w:fill="FFFFFF"/>
            <w:vAlign w:val="center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0"/>
                <w:szCs w:val="10"/>
              </w:rPr>
              <w:t>0.008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left w:val="nil"/>
            </w:tcBorders>
            <w:shd w:val="clear" w:color="auto" w:fill="FFFFFF"/>
          </w:tcPr>
          <w:p>
            <w:pPr>
              <w:spacing w:line="160" w:lineRule="exact"/>
              <w:ind w:firstLine="100" w:firstLineChars="100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3（3.6%）</w:t>
            </w: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2（4.0%）</w:t>
            </w:r>
          </w:p>
        </w:tc>
        <w:tc>
          <w:tcPr>
            <w:tcW w:w="0" w:type="auto"/>
            <w:vMerge w:val="continue"/>
            <w:shd w:val="clear" w:color="auto" w:fill="FFFFFF"/>
            <w:vAlign w:val="center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3（7.1%）</w:t>
            </w: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0</w:t>
            </w: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1（2.8%）</w:t>
            </w: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1（7.1%）</w:t>
            </w:r>
          </w:p>
        </w:tc>
        <w:tc>
          <w:tcPr>
            <w:tcW w:w="0" w:type="auto"/>
            <w:vMerge w:val="continue"/>
            <w:tcBorders>
              <w:right w:val="nil"/>
            </w:tcBorders>
            <w:shd w:val="clear" w:color="auto" w:fill="FFFFFF"/>
            <w:vAlign w:val="center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left w:val="nil"/>
            </w:tcBorders>
            <w:shd w:val="clear" w:color="auto" w:fill="FFFFFF"/>
          </w:tcPr>
          <w:p>
            <w:pPr>
              <w:spacing w:line="160" w:lineRule="exact"/>
              <w:ind w:firstLine="100" w:firstLineChars="100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3</w:t>
            </w: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61（73.5%）</w:t>
            </w: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28（56.0%）</w:t>
            </w:r>
          </w:p>
        </w:tc>
        <w:tc>
          <w:tcPr>
            <w:tcW w:w="0" w:type="auto"/>
            <w:vMerge w:val="continue"/>
            <w:shd w:val="clear" w:color="auto" w:fill="FFFFFF"/>
            <w:vAlign w:val="center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34（81.0%）</w:t>
            </w: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27（65.9%）</w:t>
            </w: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23（63.9%）</w:t>
            </w: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5（35.7%）</w:t>
            </w:r>
          </w:p>
        </w:tc>
        <w:tc>
          <w:tcPr>
            <w:tcW w:w="0" w:type="auto"/>
            <w:vMerge w:val="continue"/>
            <w:tcBorders>
              <w:right w:val="nil"/>
            </w:tcBorders>
            <w:shd w:val="clear" w:color="auto" w:fill="FFFFFF"/>
            <w:vAlign w:val="center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left w:val="nil"/>
            </w:tcBorders>
            <w:shd w:val="clear" w:color="auto" w:fill="FFFFFF"/>
          </w:tcPr>
          <w:p>
            <w:pPr>
              <w:spacing w:line="160" w:lineRule="exact"/>
              <w:ind w:firstLine="100" w:firstLineChars="100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4</w:t>
            </w: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19（22.9%）</w:t>
            </w: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20（40.0%）</w:t>
            </w:r>
          </w:p>
        </w:tc>
        <w:tc>
          <w:tcPr>
            <w:tcW w:w="0" w:type="auto"/>
            <w:vMerge w:val="continue"/>
            <w:shd w:val="clear" w:color="auto" w:fill="FFFFFF"/>
            <w:vAlign w:val="center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5（11.9%）</w:t>
            </w: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14（34.1%）</w:t>
            </w: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12（33.3%）</w:t>
            </w: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8（57.2%）</w:t>
            </w:r>
          </w:p>
        </w:tc>
        <w:tc>
          <w:tcPr>
            <w:tcW w:w="0" w:type="auto"/>
            <w:vMerge w:val="continue"/>
            <w:tcBorders>
              <w:right w:val="nil"/>
            </w:tcBorders>
            <w:shd w:val="clear" w:color="auto" w:fill="FFFFFF"/>
            <w:vAlign w:val="center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left w:val="nil"/>
            </w:tcBorders>
            <w:shd w:val="clear" w:color="auto" w:fill="FFFFFF"/>
          </w:tcPr>
          <w:p>
            <w:pPr>
              <w:spacing w:line="160" w:lineRule="exact"/>
              <w:jc w:val="left"/>
              <w:rPr>
                <w:rFonts w:hint="default" w:ascii="宋体" w:hAnsi="宋体" w:eastAsia="宋体" w:cs="宋体"/>
                <w:color w:val="000000"/>
                <w:sz w:val="10"/>
                <w:szCs w:val="1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N</w:t>
            </w: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  <w:lang w:val="en-US" w:eastAsia="zh-CN"/>
              </w:rPr>
              <w:t xml:space="preserve"> stage</w:t>
            </w: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 w:val="restart"/>
            <w:shd w:val="clear" w:color="auto" w:fill="FFFFFF"/>
            <w:vAlign w:val="center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0.061</w:t>
            </w: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 w:val="restart"/>
            <w:tcBorders>
              <w:right w:val="nil"/>
            </w:tcBorders>
            <w:shd w:val="clear" w:color="auto" w:fill="FFFFFF"/>
            <w:vAlign w:val="center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0.123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left w:val="nil"/>
            </w:tcBorders>
            <w:shd w:val="clear" w:color="auto" w:fill="FFFFFF"/>
          </w:tcPr>
          <w:p>
            <w:pPr>
              <w:spacing w:line="160" w:lineRule="exact"/>
              <w:ind w:firstLine="100" w:firstLineChars="100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0</w:t>
            </w: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36（43.4%）</w:t>
            </w: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15（30.0%）</w:t>
            </w:r>
          </w:p>
        </w:tc>
        <w:tc>
          <w:tcPr>
            <w:tcW w:w="0" w:type="auto"/>
            <w:vMerge w:val="continue"/>
            <w:shd w:val="clear" w:color="auto" w:fill="FFFFFF"/>
            <w:vAlign w:val="center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14（33.3%）</w:t>
            </w: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22（53.7%）</w:t>
            </w: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10（27.8%）</w:t>
            </w: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5（35.7%）</w:t>
            </w:r>
          </w:p>
        </w:tc>
        <w:tc>
          <w:tcPr>
            <w:tcW w:w="0" w:type="auto"/>
            <w:vMerge w:val="continue"/>
            <w:tcBorders>
              <w:right w:val="nil"/>
            </w:tcBorders>
            <w:shd w:val="clear" w:color="auto" w:fill="FFFFFF"/>
            <w:vAlign w:val="center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left w:val="nil"/>
            </w:tcBorders>
            <w:shd w:val="clear" w:color="auto" w:fill="FFFFFF"/>
          </w:tcPr>
          <w:p>
            <w:pPr>
              <w:spacing w:line="160" w:lineRule="exact"/>
              <w:ind w:firstLine="100" w:firstLineChars="100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1</w:t>
            </w: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35（42.2%）</w:t>
            </w: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22（44.0%）</w:t>
            </w:r>
          </w:p>
        </w:tc>
        <w:tc>
          <w:tcPr>
            <w:tcW w:w="0" w:type="auto"/>
            <w:vMerge w:val="continue"/>
            <w:shd w:val="clear" w:color="auto" w:fill="FFFFFF"/>
            <w:vAlign w:val="center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22（52.4%）</w:t>
            </w: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13（31.7%）</w:t>
            </w: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16（44.4%）</w:t>
            </w: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6（42.9%）</w:t>
            </w:r>
          </w:p>
        </w:tc>
        <w:tc>
          <w:tcPr>
            <w:tcW w:w="0" w:type="auto"/>
            <w:vMerge w:val="continue"/>
            <w:tcBorders>
              <w:right w:val="nil"/>
            </w:tcBorders>
            <w:shd w:val="clear" w:color="auto" w:fill="FFFFFF"/>
            <w:vAlign w:val="center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left w:val="nil"/>
            </w:tcBorders>
            <w:shd w:val="clear" w:color="auto" w:fill="FFFFFF"/>
          </w:tcPr>
          <w:p>
            <w:pPr>
              <w:spacing w:line="160" w:lineRule="exact"/>
              <w:ind w:firstLine="100" w:firstLineChars="100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12（14.4%）</w:t>
            </w: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13（26.0%）</w:t>
            </w:r>
          </w:p>
        </w:tc>
        <w:tc>
          <w:tcPr>
            <w:tcW w:w="0" w:type="auto"/>
            <w:vMerge w:val="continue"/>
            <w:shd w:val="clear" w:color="auto" w:fill="FFFFFF"/>
            <w:vAlign w:val="center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6（14.3%）</w:t>
            </w: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6（14.6%）</w:t>
            </w: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10（27.8%）</w:t>
            </w: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3（21.4%）</w:t>
            </w:r>
          </w:p>
        </w:tc>
        <w:tc>
          <w:tcPr>
            <w:tcW w:w="0" w:type="auto"/>
            <w:vMerge w:val="continue"/>
            <w:tcBorders>
              <w:right w:val="nil"/>
            </w:tcBorders>
            <w:shd w:val="clear" w:color="auto" w:fill="FFFFFF"/>
            <w:vAlign w:val="center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left w:val="nil"/>
            </w:tcBorders>
            <w:shd w:val="clear" w:color="auto" w:fill="FFFFFF"/>
          </w:tcPr>
          <w:p>
            <w:pPr>
              <w:spacing w:line="160" w:lineRule="exact"/>
              <w:jc w:val="left"/>
              <w:rPr>
                <w:rFonts w:hint="default" w:ascii="宋体" w:hAnsi="宋体" w:eastAsia="宋体" w:cs="宋体"/>
                <w:color w:val="000000"/>
                <w:sz w:val="10"/>
                <w:szCs w:val="1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ASA</w:t>
            </w: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 w:val="restart"/>
            <w:shd w:val="clear" w:color="auto" w:fill="FFFFFF"/>
            <w:vAlign w:val="center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0.667</w:t>
            </w: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vMerge w:val="restart"/>
            <w:tcBorders>
              <w:right w:val="nil"/>
            </w:tcBorders>
            <w:shd w:val="clear" w:color="auto" w:fill="FFFFFF"/>
            <w:vAlign w:val="center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0.898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left w:val="nil"/>
            </w:tcBorders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 xml:space="preserve">  1</w:t>
            </w: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20（24.1%）</w:t>
            </w: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13（26.0%）</w:t>
            </w:r>
          </w:p>
        </w:tc>
        <w:tc>
          <w:tcPr>
            <w:tcW w:w="0" w:type="auto"/>
            <w:vMerge w:val="continue"/>
            <w:shd w:val="clear" w:color="auto" w:fill="FFFFFF"/>
            <w:vAlign w:val="center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12（28.6%）</w:t>
            </w: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8（19.5%）</w:t>
            </w: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10（27.8%）</w:t>
            </w: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3（21.4%）</w:t>
            </w:r>
          </w:p>
        </w:tc>
        <w:tc>
          <w:tcPr>
            <w:tcW w:w="0" w:type="auto"/>
            <w:vMerge w:val="continue"/>
            <w:tcBorders>
              <w:right w:val="nil"/>
            </w:tcBorders>
            <w:shd w:val="clear" w:color="auto" w:fill="FFFFFF"/>
            <w:vAlign w:val="center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left w:val="nil"/>
            </w:tcBorders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 xml:space="preserve">  2</w:t>
            </w: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52（62.7%）</w:t>
            </w: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33（66.0%）</w:t>
            </w:r>
          </w:p>
        </w:tc>
        <w:tc>
          <w:tcPr>
            <w:tcW w:w="0" w:type="auto"/>
            <w:vMerge w:val="continue"/>
            <w:shd w:val="clear" w:color="auto" w:fill="FFFFFF"/>
            <w:vAlign w:val="center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24（57.2%）</w:t>
            </w: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28（68.3%）</w:t>
            </w: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23（63.9%）</w:t>
            </w: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10（71.5%）</w:t>
            </w:r>
          </w:p>
        </w:tc>
        <w:tc>
          <w:tcPr>
            <w:tcW w:w="0" w:type="auto"/>
            <w:vMerge w:val="continue"/>
            <w:tcBorders>
              <w:right w:val="nil"/>
            </w:tcBorders>
            <w:shd w:val="clear" w:color="auto" w:fill="FFFFFF"/>
            <w:vAlign w:val="center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left w:val="nil"/>
            </w:tcBorders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 xml:space="preserve">  3</w:t>
            </w: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11（13.2%）</w:t>
            </w: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4（8.0%）</w:t>
            </w:r>
          </w:p>
        </w:tc>
        <w:tc>
          <w:tcPr>
            <w:tcW w:w="0" w:type="auto"/>
            <w:vMerge w:val="continue"/>
            <w:shd w:val="clear" w:color="auto" w:fill="FFFFFF"/>
            <w:vAlign w:val="center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6（14.2%）</w:t>
            </w: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5（12.2%）</w:t>
            </w: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3（8.3%）</w:t>
            </w: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1（7.1%）</w:t>
            </w:r>
          </w:p>
        </w:tc>
        <w:tc>
          <w:tcPr>
            <w:tcW w:w="0" w:type="auto"/>
            <w:vMerge w:val="continue"/>
            <w:tcBorders>
              <w:right w:val="nil"/>
            </w:tcBorders>
            <w:shd w:val="clear" w:color="auto" w:fill="FFFFFF"/>
            <w:vAlign w:val="center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left w:val="nil"/>
            </w:tcBorders>
            <w:shd w:val="clear" w:color="auto" w:fill="FFFFFF"/>
          </w:tcPr>
          <w:p>
            <w:pPr>
              <w:spacing w:line="160" w:lineRule="exact"/>
              <w:jc w:val="left"/>
              <w:rPr>
                <w:rFonts w:hint="default" w:ascii="宋体" w:hAnsi="宋体" w:eastAsia="宋体" w:cs="宋体"/>
                <w:color w:val="000000"/>
                <w:sz w:val="10"/>
                <w:szCs w:val="1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  <w:lang w:val="en-US" w:eastAsia="zh-CN"/>
              </w:rPr>
              <w:t>Tumor height</w:t>
            </w: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3.8±1.2</w:t>
            </w: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3.9±1.2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0.575</w:t>
            </w: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4.4±0.9</w:t>
            </w: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3.2±1.2</w:t>
            </w: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4.2±0.9</w:t>
            </w: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3.2±1.5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FFFFFF"/>
            <w:vAlign w:val="center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b/>
                <w:bCs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0"/>
                <w:szCs w:val="10"/>
              </w:rPr>
              <w:t>＜0.001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left w:val="nil"/>
            </w:tcBorders>
            <w:shd w:val="clear" w:color="auto" w:fill="FFFFFF"/>
          </w:tcPr>
          <w:p>
            <w:pPr>
              <w:spacing w:line="160" w:lineRule="exact"/>
              <w:jc w:val="left"/>
              <w:rPr>
                <w:rFonts w:hint="default" w:ascii="宋体" w:hAnsi="宋体" w:eastAsia="宋体" w:cs="宋体"/>
                <w:color w:val="000000"/>
                <w:sz w:val="10"/>
                <w:szCs w:val="1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  <w:lang w:val="en-US" w:eastAsia="zh-CN"/>
              </w:rPr>
              <w:t>age</w:t>
            </w: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57±14</w:t>
            </w: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55±11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0.375</w:t>
            </w: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56±14</w:t>
            </w: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59±13</w:t>
            </w: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55±12</w:t>
            </w: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56±7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FFFFFF"/>
            <w:vAlign w:val="center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0.538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left w:val="nil"/>
            </w:tcBorders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BMI</w:t>
            </w: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22.0±3.3</w:t>
            </w: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22.0±2.7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0.899</w:t>
            </w: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21.5±2.7</w:t>
            </w: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22.5±3.7</w:t>
            </w: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21.9±2.6</w:t>
            </w:r>
          </w:p>
        </w:tc>
        <w:tc>
          <w:tcPr>
            <w:tcW w:w="0" w:type="auto"/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22.0±3.2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FFFFFF"/>
            <w:vAlign w:val="center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0.525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  <w:jc w:val="center"/>
        </w:trPr>
        <w:tc>
          <w:tcPr>
            <w:tcW w:w="0" w:type="auto"/>
            <w:tcBorders>
              <w:left w:val="nil"/>
              <w:bottom w:val="single" w:color="auto" w:sz="12" w:space="0"/>
            </w:tcBorders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CEA</w:t>
            </w:r>
          </w:p>
        </w:tc>
        <w:tc>
          <w:tcPr>
            <w:tcW w:w="0" w:type="auto"/>
            <w:tcBorders>
              <w:bottom w:val="single" w:color="auto" w:sz="12" w:space="0"/>
            </w:tcBorders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6.8±12.7</w:t>
            </w:r>
          </w:p>
        </w:tc>
        <w:tc>
          <w:tcPr>
            <w:tcW w:w="0" w:type="auto"/>
            <w:tcBorders>
              <w:bottom w:val="single" w:color="auto" w:sz="12" w:space="0"/>
            </w:tcBorders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23.2±92.0</w:t>
            </w:r>
          </w:p>
        </w:tc>
        <w:tc>
          <w:tcPr>
            <w:tcW w:w="0" w:type="auto"/>
            <w:tcBorders>
              <w:bottom w:val="single" w:color="auto" w:sz="12" w:space="0"/>
            </w:tcBorders>
            <w:shd w:val="clear" w:color="auto" w:fill="FFFFFF"/>
            <w:vAlign w:val="center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0.219</w:t>
            </w:r>
          </w:p>
        </w:tc>
        <w:tc>
          <w:tcPr>
            <w:tcW w:w="0" w:type="auto"/>
            <w:tcBorders>
              <w:bottom w:val="single" w:color="auto" w:sz="12" w:space="0"/>
            </w:tcBorders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7.5±16.3</w:t>
            </w:r>
          </w:p>
        </w:tc>
        <w:tc>
          <w:tcPr>
            <w:tcW w:w="0" w:type="auto"/>
            <w:tcBorders>
              <w:bottom w:val="single" w:color="auto" w:sz="12" w:space="0"/>
            </w:tcBorders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6.2±7.6</w:t>
            </w:r>
          </w:p>
        </w:tc>
        <w:tc>
          <w:tcPr>
            <w:tcW w:w="0" w:type="auto"/>
            <w:tcBorders>
              <w:bottom w:val="single" w:color="auto" w:sz="12" w:space="0"/>
            </w:tcBorders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29.7±108.0</w:t>
            </w:r>
          </w:p>
        </w:tc>
        <w:tc>
          <w:tcPr>
            <w:tcW w:w="0" w:type="auto"/>
            <w:tcBorders>
              <w:bottom w:val="single" w:color="auto" w:sz="12" w:space="0"/>
            </w:tcBorders>
            <w:shd w:val="clear" w:color="auto" w:fill="FFFFFF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6.3±9.1</w:t>
            </w:r>
          </w:p>
        </w:tc>
        <w:tc>
          <w:tcPr>
            <w:tcW w:w="0" w:type="auto"/>
            <w:tcBorders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>
            <w:pPr>
              <w:spacing w:line="160" w:lineRule="exact"/>
              <w:jc w:val="left"/>
              <w:rPr>
                <w:rFonts w:ascii="宋体" w:hAnsi="宋体" w:eastAsia="宋体" w:cs="宋体"/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eastAsia="宋体" w:cs="宋体"/>
                <w:color w:val="000000"/>
                <w:sz w:val="10"/>
                <w:szCs w:val="10"/>
              </w:rPr>
              <w:t>0.248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b/>
          <w:bCs/>
          <w:sz w:val="24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b/>
          <w:bCs/>
          <w:sz w:val="24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b/>
          <w:bCs/>
          <w:sz w:val="24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b/>
          <w:bCs/>
          <w:sz w:val="24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b/>
          <w:bCs/>
          <w:sz w:val="24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b/>
          <w:bCs/>
          <w:sz w:val="24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b/>
          <w:bCs/>
          <w:sz w:val="24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b/>
          <w:bCs/>
          <w:sz w:val="24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b/>
          <w:bCs/>
          <w:sz w:val="24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b/>
          <w:bCs/>
          <w:sz w:val="24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b/>
          <w:bCs/>
          <w:sz w:val="24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b/>
          <w:bCs/>
          <w:sz w:val="24"/>
          <w:szCs w:val="32"/>
          <w:lang w:val="en-US"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414020</wp:posOffset>
                </wp:positionH>
                <wp:positionV relativeFrom="paragraph">
                  <wp:posOffset>15240</wp:posOffset>
                </wp:positionV>
                <wp:extent cx="5009515" cy="864870"/>
                <wp:effectExtent l="0" t="0" r="635" b="1143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9515" cy="8648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/>
                                <w:sz w:val="16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/>
                                <w:sz w:val="16"/>
                                <w:szCs w:val="20"/>
                                <w:lang w:val="en-US" w:eastAsia="zh-CN"/>
                              </w:rPr>
                              <w:t xml:space="preserve">Data are expressed as </w:t>
                            </w:r>
                            <w:r>
                              <w:rPr>
                                <w:rFonts w:hint="eastAsia"/>
                                <w:sz w:val="16"/>
                                <w:szCs w:val="20"/>
                                <w:lang w:val="en-US" w:eastAsia="zh-CN"/>
                              </w:rPr>
                              <w:t>means±standard deviation</w:t>
                            </w:r>
                            <w:r>
                              <w:rPr>
                                <w:rFonts w:hint="default"/>
                                <w:sz w:val="16"/>
                                <w:szCs w:val="20"/>
                                <w:lang w:val="en-US" w:eastAsia="zh-CN"/>
                              </w:rPr>
                              <w:t xml:space="preserve"> or n (%)</w:t>
                            </w:r>
                          </w:p>
                          <w:p>
                            <w:pPr>
                              <w:rPr>
                                <w:rFonts w:hint="eastAsia" w:ascii="宋体" w:hAnsi="宋体" w:eastAsia="宋体" w:cs="宋体"/>
                                <w:i/>
                                <w:iCs/>
                                <w:color w:val="000000"/>
                                <w:sz w:val="16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  <w:lang w:val="en-US" w:eastAsia="zh-CN"/>
                              </w:rPr>
                              <w:t>*A=primary SPS group; B=primary APR group; C=nCRT+SPS group; D=nCRT+APR group</w:t>
                            </w:r>
                          </w:p>
                          <w:p>
                            <w:pPr>
                              <w:rPr>
                                <w:rFonts w:hint="default"/>
                                <w:i w:val="0"/>
                                <w:iCs w:val="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  <w:lang w:val="en-US" w:eastAsia="zh-CN"/>
                              </w:rPr>
                              <w:t xml:space="preserve">Abbreviations: </w:t>
                            </w:r>
                            <w:r>
                              <w:rPr>
                                <w:rFonts w:hint="eastAsia"/>
                                <w:i w:val="0"/>
                                <w:iCs w:val="0"/>
                                <w:sz w:val="16"/>
                                <w:szCs w:val="20"/>
                                <w:lang w:val="en-US" w:eastAsia="zh-CN"/>
                              </w:rPr>
                              <w:t xml:space="preserve">nCRT=neoadjuvant chemoradiotherapy; BMI=body mass index; </w:t>
                            </w:r>
                            <w:r>
                              <w:rPr>
                                <w:rFonts w:hint="eastAsia"/>
                                <w:b w:val="0"/>
                                <w:bCs w:val="0"/>
                                <w:i w:val="0"/>
                                <w:iCs w:val="0"/>
                                <w:sz w:val="16"/>
                                <w:szCs w:val="20"/>
                                <w:lang w:val="en-US" w:eastAsia="zh-CN"/>
                              </w:rPr>
                              <w:t>ASA=</w:t>
                            </w:r>
                            <w:r>
                              <w:rPr>
                                <w:rFonts w:hint="eastAsia"/>
                                <w:i w:val="0"/>
                                <w:iCs w:val="0"/>
                                <w:sz w:val="16"/>
                                <w:szCs w:val="20"/>
                                <w:lang w:val="en-US" w:eastAsia="zh-CN"/>
                              </w:rPr>
                              <w:t>American society of Anesthesiologists; CEA=carcinoembryonic antigen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.6pt;margin-top:1.2pt;height:68.1pt;width:394.45pt;z-index:251661312;mso-width-relative:page;mso-height-relative:page;" fillcolor="#FFFFFF [3201]" filled="t" stroked="f" coordsize="21600,21600" o:gfxdata="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AdXq4NQAAAAIAQAADwAA&#10;AAAAAAABACAAAAAiAAAAZHJzL2Rvd25yZXYueG1sUEsBAhQAFAAAAAgAh07iQKZ8CnNTAgAAkQQA&#10;AA4AAAAAAAAAAQAgAAAAIwEAAGRycy9lMm9Eb2MueG1sUEsFBgAAAAAGAAYAWQEAAOg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sz w:val="16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default"/>
                          <w:sz w:val="16"/>
                          <w:szCs w:val="20"/>
                          <w:lang w:val="en-US" w:eastAsia="zh-CN"/>
                        </w:rPr>
                        <w:t xml:space="preserve">Data are expressed as </w:t>
                      </w:r>
                      <w:r>
                        <w:rPr>
                          <w:rFonts w:hint="eastAsia"/>
                          <w:sz w:val="16"/>
                          <w:szCs w:val="20"/>
                          <w:lang w:val="en-US" w:eastAsia="zh-CN"/>
                        </w:rPr>
                        <w:t>means±standard deviation</w:t>
                      </w:r>
                      <w:r>
                        <w:rPr>
                          <w:rFonts w:hint="default"/>
                          <w:sz w:val="16"/>
                          <w:szCs w:val="20"/>
                          <w:lang w:val="en-US" w:eastAsia="zh-CN"/>
                        </w:rPr>
                        <w:t xml:space="preserve"> or n (%)</w:t>
                      </w:r>
                    </w:p>
                    <w:p>
                      <w:pPr>
                        <w:rPr>
                          <w:rFonts w:hint="eastAsia" w:ascii="宋体" w:hAnsi="宋体" w:eastAsia="宋体" w:cs="宋体"/>
                          <w:i/>
                          <w:iCs/>
                          <w:color w:val="000000"/>
                          <w:sz w:val="16"/>
                          <w:szCs w:val="16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6"/>
                          <w:szCs w:val="20"/>
                          <w:lang w:val="en-US" w:eastAsia="zh-CN"/>
                        </w:rPr>
                        <w:t>*A=primary SPS group; B=primary APR group; C=nCRT+SPS group; D=nCRT+APR group</w:t>
                      </w:r>
                    </w:p>
                    <w:p>
                      <w:pPr>
                        <w:rPr>
                          <w:rFonts w:hint="default"/>
                          <w:i w:val="0"/>
                          <w:iCs w:val="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6"/>
                          <w:szCs w:val="20"/>
                          <w:lang w:val="en-US" w:eastAsia="zh-CN"/>
                        </w:rPr>
                        <w:t xml:space="preserve">Abbreviations: </w:t>
                      </w:r>
                      <w:r>
                        <w:rPr>
                          <w:rFonts w:hint="eastAsia"/>
                          <w:i w:val="0"/>
                          <w:iCs w:val="0"/>
                          <w:sz w:val="16"/>
                          <w:szCs w:val="20"/>
                          <w:lang w:val="en-US" w:eastAsia="zh-CN"/>
                        </w:rPr>
                        <w:t xml:space="preserve">nCRT=neoadjuvant chemoradiotherapy; BMI=body mass index; </w:t>
                      </w:r>
                      <w:r>
                        <w:rPr>
                          <w:rFonts w:hint="eastAsia"/>
                          <w:b w:val="0"/>
                          <w:bCs w:val="0"/>
                          <w:i w:val="0"/>
                          <w:iCs w:val="0"/>
                          <w:sz w:val="16"/>
                          <w:szCs w:val="20"/>
                          <w:lang w:val="en-US" w:eastAsia="zh-CN"/>
                        </w:rPr>
                        <w:t>ASA=</w:t>
                      </w:r>
                      <w:r>
                        <w:rPr>
                          <w:rFonts w:hint="eastAsia"/>
                          <w:i w:val="0"/>
                          <w:iCs w:val="0"/>
                          <w:sz w:val="16"/>
                          <w:szCs w:val="20"/>
                          <w:lang w:val="en-US" w:eastAsia="zh-CN"/>
                        </w:rPr>
                        <w:t>American society of Anesthesiologists; CEA=carcinoembryonic antigen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b/>
          <w:bCs/>
          <w:sz w:val="24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b/>
          <w:bCs/>
          <w:sz w:val="24"/>
          <w:szCs w:val="32"/>
          <w:lang w:val="en-US" w:eastAsia="zh-CN"/>
        </w:rPr>
      </w:pPr>
    </w:p>
    <w:tbl>
      <w:tblPr>
        <w:tblStyle w:val="3"/>
        <w:tblpPr w:leftFromText="180" w:rightFromText="180" w:vertAnchor="text" w:horzAnchor="page" w:tblpX="2162" w:tblpY="210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2"/>
        <w:gridCol w:w="1016"/>
        <w:gridCol w:w="10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04" w:type="dxa"/>
            <w:gridSpan w:val="3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spacing w:line="240" w:lineRule="exact"/>
              <w:jc w:val="left"/>
              <w:rPr>
                <w:rFonts w:hint="default" w:ascii="宋体" w:hAnsi="宋体" w:eastAsia="宋体" w:cs="宋体"/>
                <w:sz w:val="16"/>
                <w:szCs w:val="16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Cs w:val="21"/>
                <w:lang w:val="en-US" w:eastAsia="zh-CN"/>
              </w:rPr>
              <w:t>Supplementary Table 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2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240" w:lineRule="exact"/>
              <w:jc w:val="left"/>
              <w:rPr>
                <w:rFonts w:hint="default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item</w:t>
            </w:r>
          </w:p>
        </w:tc>
        <w:tc>
          <w:tcPr>
            <w:tcW w:w="1016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240" w:lineRule="exact"/>
              <w:jc w:val="left"/>
              <w:rPr>
                <w:rFonts w:hint="eastAsia" w:ascii="宋体" w:hAnsi="宋体" w:eastAsia="宋体" w:cs="宋体"/>
                <w:color w:val="00000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Subgroup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vertAlign w:val="superscript"/>
                <w:lang w:val="en-US" w:eastAsia="zh-CN"/>
              </w:rPr>
              <w:t>*</w:t>
            </w:r>
          </w:p>
          <w:p>
            <w:pPr>
              <w:spacing w:line="240" w:lineRule="exact"/>
              <w:jc w:val="left"/>
              <w:rPr>
                <w:rFonts w:hint="default" w:ascii="宋体" w:hAnsi="宋体" w:eastAsia="宋体" w:cs="宋体"/>
                <w:color w:val="00000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vertAlign w:val="baseline"/>
                <w:lang w:val="en-US" w:eastAsia="zh-CN"/>
              </w:rPr>
              <w:t>comparison</w:t>
            </w:r>
          </w:p>
        </w:tc>
        <w:tc>
          <w:tcPr>
            <w:tcW w:w="1046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240" w:lineRule="exact"/>
              <w:jc w:val="left"/>
              <w:rPr>
                <w:rFonts w:hint="default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p value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vertAlign w:val="superscript"/>
                <w:lang w:val="en-US" w:eastAsia="zh-CN"/>
              </w:rPr>
              <w:t>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2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line="240" w:lineRule="exact"/>
              <w:jc w:val="left"/>
              <w:rPr>
                <w:rFonts w:hint="default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Tumor height</w:t>
            </w:r>
          </w:p>
        </w:tc>
        <w:tc>
          <w:tcPr>
            <w:tcW w:w="101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line="240" w:lineRule="exact"/>
              <w:jc w:val="lef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A vs. B</w:t>
            </w:r>
          </w:p>
          <w:p>
            <w:pPr>
              <w:spacing w:line="240" w:lineRule="exact"/>
              <w:jc w:val="lef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A vs. D</w:t>
            </w:r>
          </w:p>
          <w:p>
            <w:pPr>
              <w:spacing w:line="240" w:lineRule="exact"/>
              <w:jc w:val="lef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B vs. C</w:t>
            </w:r>
          </w:p>
          <w:p>
            <w:pPr>
              <w:spacing w:line="240" w:lineRule="exact"/>
              <w:jc w:val="lef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C vs. D</w:t>
            </w:r>
          </w:p>
        </w:tc>
        <w:tc>
          <w:tcPr>
            <w:tcW w:w="104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line="240" w:lineRule="exact"/>
              <w:jc w:val="lef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＜0.001</w:t>
            </w:r>
          </w:p>
          <w:p>
            <w:pPr>
              <w:spacing w:line="240" w:lineRule="exact"/>
              <w:jc w:val="lef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＜0.001</w:t>
            </w:r>
          </w:p>
          <w:p>
            <w:pPr>
              <w:spacing w:line="240" w:lineRule="exact"/>
              <w:jc w:val="lef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＜0.001</w:t>
            </w:r>
          </w:p>
          <w:p>
            <w:pPr>
              <w:spacing w:line="240" w:lineRule="exact"/>
              <w:jc w:val="lef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0.005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42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spacing w:line="240" w:lineRule="exact"/>
              <w:jc w:val="left"/>
              <w:rPr>
                <w:rFonts w:hint="default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T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 xml:space="preserve"> stage</w:t>
            </w:r>
          </w:p>
        </w:tc>
        <w:tc>
          <w:tcPr>
            <w:tcW w:w="1016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spacing w:line="240" w:lineRule="exact"/>
              <w:jc w:val="lef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A vs. D</w:t>
            </w:r>
          </w:p>
        </w:tc>
        <w:tc>
          <w:tcPr>
            <w:tcW w:w="1046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spacing w:line="240" w:lineRule="exact"/>
              <w:jc w:val="lef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0.003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b/>
          <w:bCs/>
          <w:sz w:val="24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b/>
          <w:bCs/>
          <w:sz w:val="24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b/>
          <w:bCs/>
          <w:sz w:val="24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b/>
          <w:bCs/>
          <w:sz w:val="24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b/>
          <w:bCs/>
          <w:sz w:val="24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b/>
          <w:bCs/>
          <w:sz w:val="24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b/>
          <w:bCs/>
          <w:sz w:val="24"/>
          <w:szCs w:val="32"/>
          <w:lang w:val="en-US"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770255</wp:posOffset>
                </wp:positionH>
                <wp:positionV relativeFrom="paragraph">
                  <wp:posOffset>40005</wp:posOffset>
                </wp:positionV>
                <wp:extent cx="3740150" cy="488950"/>
                <wp:effectExtent l="0" t="0" r="12700" b="635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0150" cy="488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/>
                                <w:sz w:val="16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  <w:lang w:val="en-US" w:eastAsia="zh-CN"/>
                              </w:rPr>
                              <w:t>*A=primary SPS group; B=primary APR group; C=nCRT+SPS group; D=nCRT+APR group</w:t>
                            </w:r>
                          </w:p>
                          <w:p>
                            <w:pPr>
                              <w:rPr>
                                <w:rFonts w:hint="default"/>
                                <w:sz w:val="16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  <w:lang w:val="en-US" w:eastAsia="zh-CN"/>
                              </w:rPr>
                              <w:t>**Two-sided α value was adjusted to 0.0083 by simple Bonferroni correction.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0.65pt;margin-top:3.15pt;height:38.5pt;width:294.5pt;z-index:251662336;mso-width-relative:page;mso-height-relative:page;" fillcolor="#FFFFFF [3201]" filled="t" stroked="f" coordsize="21600,21600" o:gfxdata="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spa/0NMAAAAIAQAADwAAAAAAAAAB&#10;ACAAAAAiAAAAZHJzL2Rvd25yZXYueG1sUEsBAhQAFAAAAAgAh07iQIOiSh1OAgAAkQQAAA4AAAAA&#10;AAAAAQAgAAAAIgEAAGRycy9lMm9Eb2MueG1sUEsFBgAAAAAGAAYAWQEAAOI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/>
                          <w:sz w:val="16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6"/>
                          <w:szCs w:val="20"/>
                          <w:lang w:val="en-US" w:eastAsia="zh-CN"/>
                        </w:rPr>
                        <w:t>*A=primary SPS group; B=primary APR group; C=nCRT+SPS group; D=nCRT+APR group</w:t>
                      </w:r>
                    </w:p>
                    <w:p>
                      <w:pPr>
                        <w:rPr>
                          <w:rFonts w:hint="default"/>
                          <w:sz w:val="16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6"/>
                          <w:szCs w:val="20"/>
                          <w:lang w:val="en-US" w:eastAsia="zh-CN"/>
                        </w:rPr>
                        <w:t>**Two-sided α value was adjusted to 0.0083 by simple Bonferroni correction.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b/>
          <w:bCs/>
          <w:sz w:val="24"/>
          <w:szCs w:val="32"/>
          <w:lang w:val="en-US" w:eastAsia="zh-CN"/>
        </w:rPr>
      </w:pPr>
    </w:p>
    <w:p>
      <w:pPr>
        <w:rPr>
          <w:rFonts w:hint="default"/>
          <w:b/>
          <w:bCs/>
          <w:sz w:val="24"/>
          <w:szCs w:val="32"/>
          <w:lang w:val="en-US" w:eastAsia="zh-CN"/>
        </w:rPr>
      </w:pPr>
      <w:r>
        <w:rPr>
          <w:rFonts w:hint="default"/>
          <w:b/>
          <w:bCs/>
          <w:sz w:val="24"/>
          <w:szCs w:val="32"/>
          <w:lang w:val="en-US" w:eastAsia="zh-CN"/>
        </w:rPr>
        <w:br w:type="page"/>
      </w:r>
    </w:p>
    <w:tbl>
      <w:tblPr>
        <w:tblStyle w:val="3"/>
        <w:tblpPr w:leftFromText="180" w:rightFromText="180" w:vertAnchor="text" w:horzAnchor="page" w:tblpX="3362" w:tblpY="29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9"/>
        <w:gridCol w:w="2476"/>
        <w:gridCol w:w="987"/>
        <w:gridCol w:w="9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32" w:type="dxa"/>
            <w:gridSpan w:val="3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jc w:val="left"/>
              <w:rPr>
                <w:rFonts w:hint="default" w:ascii="宋体" w:hAnsi="宋体" w:eastAsia="宋体" w:cs="宋体"/>
                <w:color w:val="000000"/>
                <w:sz w:val="16"/>
                <w:szCs w:val="16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Cs w:val="21"/>
                <w:lang w:val="en-US" w:eastAsia="zh-CN"/>
              </w:rPr>
              <w:t>Supplementary Table 5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>
            <w:pPr>
              <w:jc w:val="left"/>
              <w:rPr>
                <w:rFonts w:hint="default" w:ascii="宋体" w:hAnsi="宋体" w:eastAsia="宋体" w:cs="宋体"/>
                <w:b/>
                <w:bCs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6"/>
                <w:szCs w:val="16"/>
                <w:lang w:val="en-US" w:eastAsia="zh-CN"/>
              </w:rPr>
              <w:t>item</w:t>
            </w:r>
          </w:p>
        </w:tc>
        <w:tc>
          <w:tcPr>
            <w:tcW w:w="2476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>
            <w:pPr>
              <w:jc w:val="left"/>
              <w:rPr>
                <w:rFonts w:hint="default" w:ascii="宋体" w:hAnsi="宋体" w:eastAsia="微软雅黑" w:cs="宋体"/>
                <w:b/>
                <w:bCs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6"/>
                <w:szCs w:val="16"/>
                <w:lang w:val="en-US" w:eastAsia="zh-CN"/>
              </w:rPr>
              <w:t>∆ between subgroups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vertAlign w:val="superscript"/>
                <w:lang w:val="en-US" w:eastAsia="zh-CN"/>
              </w:rPr>
              <w:t>*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16"/>
                <w:szCs w:val="16"/>
                <w:lang w:val="en-US" w:eastAsia="zh-CN"/>
              </w:rPr>
              <w:t xml:space="preserve"> (95% CI)</w:t>
            </w:r>
          </w:p>
        </w:tc>
        <w:tc>
          <w:tcPr>
            <w:tcW w:w="98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>
            <w:pPr>
              <w:jc w:val="left"/>
              <w:rPr>
                <w:rFonts w:hint="default" w:ascii="宋体" w:hAnsi="宋体" w:eastAsia="宋体" w:cs="宋体"/>
                <w:b/>
                <w:bCs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6"/>
                <w:szCs w:val="16"/>
                <w:lang w:val="en-US" w:eastAsia="zh-CN"/>
              </w:rPr>
              <w:t>degree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vertAlign w:val="superscript"/>
                <w:lang w:val="en-US" w:eastAsia="zh-CN"/>
              </w:rPr>
              <w:t>**</w:t>
            </w:r>
          </w:p>
        </w:tc>
        <w:tc>
          <w:tcPr>
            <w:tcW w:w="911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6"/>
                <w:szCs w:val="16"/>
                <w:lang w:val="en-US" w:eastAsia="zh-CN"/>
              </w:rPr>
              <w:t>p value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vertAlign w:val="superscript"/>
                <w:lang w:val="en-US" w:eastAsia="zh-CN"/>
              </w:rPr>
              <w:t>***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9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hint="default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Cognitive function</w:t>
            </w:r>
          </w:p>
        </w:tc>
        <w:tc>
          <w:tcPr>
            <w:tcW w:w="2476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hint="default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6"/>
                <w:szCs w:val="16"/>
                <w:lang w:val="en-US" w:eastAsia="zh-CN"/>
              </w:rPr>
              <w:t>∆(C-D)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16"/>
                <w:szCs w:val="16"/>
                <w:vertAlign w:val="baseline"/>
                <w:lang w:val="en-US" w:eastAsia="zh-CN"/>
              </w:rPr>
              <w:t xml:space="preserve">= 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-10.3 (-20.5 to 0.0)</w:t>
            </w:r>
          </w:p>
        </w:tc>
        <w:tc>
          <w:tcPr>
            <w:tcW w:w="987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moderate</w:t>
            </w:r>
          </w:p>
        </w:tc>
        <w:tc>
          <w:tcPr>
            <w:tcW w:w="911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0.006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9" w:type="dxa"/>
            <w:vMerge w:val="restart"/>
            <w:tcBorders>
              <w:top w:val="nil"/>
              <w:left w:val="nil"/>
              <w:right w:val="nil"/>
            </w:tcBorders>
          </w:tcPr>
          <w:p>
            <w:pPr>
              <w:jc w:val="left"/>
              <w:rPr>
                <w:rFonts w:hint="default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Social function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hint="default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6"/>
                <w:szCs w:val="16"/>
                <w:lang w:val="en-US" w:eastAsia="zh-CN"/>
              </w:rPr>
              <w:t xml:space="preserve">∆(C-A)= 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-24.9 (-40.5 to -9.3)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major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＜0.001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9" w:type="dxa"/>
            <w:vMerge w:val="continue"/>
            <w:tcBorders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hint="default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6"/>
                <w:szCs w:val="16"/>
                <w:lang w:val="en-US" w:eastAsia="zh-CN"/>
              </w:rPr>
              <w:t xml:space="preserve">∆(C-D)= 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-23.1 (-50.2 to 4.0)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major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0.003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9" w:type="dxa"/>
            <w:vMerge w:val="restart"/>
            <w:tcBorders>
              <w:top w:val="nil"/>
              <w:left w:val="nil"/>
              <w:right w:val="nil"/>
            </w:tcBorders>
          </w:tcPr>
          <w:p>
            <w:pPr>
              <w:jc w:val="left"/>
              <w:rPr>
                <w:rFonts w:hint="default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Diarrhoea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hint="default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6"/>
                <w:szCs w:val="16"/>
                <w:lang w:val="en-US" w:eastAsia="zh-CN"/>
              </w:rPr>
              <w:t xml:space="preserve">∆(C-A)= 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24.7 (3.3 to 46.3)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major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＜0.001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9" w:type="dxa"/>
            <w:vMerge w:val="continue"/>
            <w:tcBorders>
              <w:left w:val="nil"/>
              <w:right w:val="nil"/>
            </w:tcBorders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hint="default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6"/>
                <w:szCs w:val="16"/>
                <w:lang w:val="en-US" w:eastAsia="zh-CN"/>
              </w:rPr>
              <w:t xml:space="preserve">∆(C-B)= 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28.9 (10.7 to 47.1)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major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＜0.001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9" w:type="dxa"/>
            <w:vMerge w:val="continue"/>
            <w:tcBorders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hint="default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6"/>
                <w:szCs w:val="16"/>
                <w:lang w:val="en-US" w:eastAsia="zh-CN"/>
              </w:rPr>
              <w:t xml:space="preserve">∆(C-D)= 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33.3 (19.2 to 47.5)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major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＜0.001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9" w:type="dxa"/>
            <w:vMerge w:val="restart"/>
            <w:tcBorders>
              <w:top w:val="nil"/>
              <w:left w:val="nil"/>
              <w:right w:val="nil"/>
            </w:tcBorders>
          </w:tcPr>
          <w:p>
            <w:pPr>
              <w:jc w:val="left"/>
              <w:rPr>
                <w:rFonts w:hint="default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Financial difficulties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hint="default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6"/>
                <w:szCs w:val="16"/>
                <w:lang w:val="en-US" w:eastAsia="zh-CN"/>
              </w:rPr>
              <w:t xml:space="preserve">∆(C-A)= 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20.7 (1.8 to 39.5)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major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＜0.001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9" w:type="dxa"/>
            <w:vMerge w:val="continue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hint="default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6"/>
                <w:szCs w:val="16"/>
                <w:lang w:val="en-US" w:eastAsia="zh-CN"/>
              </w:rPr>
              <w:t xml:space="preserve">∆(C-B)= 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20.0 (2.6 to 37.4)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moderate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9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jc w:val="left"/>
              <w:rPr>
                <w:rFonts w:hint="default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Constipation</w:t>
            </w:r>
          </w:p>
        </w:tc>
        <w:tc>
          <w:tcPr>
            <w:tcW w:w="2476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jc w:val="left"/>
              <w:rPr>
                <w:rFonts w:hint="default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6"/>
                <w:szCs w:val="16"/>
                <w:lang w:val="en-US" w:eastAsia="zh-CN"/>
              </w:rPr>
              <w:t xml:space="preserve">∆(A-B)= 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20.0 (1.7 to 38.2)</w:t>
            </w:r>
          </w:p>
        </w:tc>
        <w:tc>
          <w:tcPr>
            <w:tcW w:w="987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moderate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top"/>
          </w:tcPr>
          <w:p>
            <w:pPr>
              <w:jc w:val="left"/>
              <w:rPr>
                <w:rFonts w:hint="default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0.006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b/>
          <w:bCs/>
          <w:sz w:val="24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b/>
          <w:bCs/>
          <w:sz w:val="24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b/>
          <w:bCs/>
          <w:sz w:val="24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b/>
          <w:bCs/>
          <w:sz w:val="24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b/>
          <w:bCs/>
          <w:sz w:val="24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b/>
          <w:bCs/>
          <w:sz w:val="24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b/>
          <w:bCs/>
          <w:sz w:val="24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b/>
          <w:bCs/>
          <w:sz w:val="24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b/>
          <w:bCs/>
          <w:sz w:val="24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b/>
          <w:bCs/>
          <w:sz w:val="24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b/>
          <w:bCs/>
          <w:sz w:val="24"/>
          <w:szCs w:val="32"/>
          <w:lang w:val="en-US"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697865</wp:posOffset>
                </wp:positionH>
                <wp:positionV relativeFrom="paragraph">
                  <wp:posOffset>26035</wp:posOffset>
                </wp:positionV>
                <wp:extent cx="4991100" cy="726440"/>
                <wp:effectExtent l="0" t="0" r="0" b="1651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1100" cy="726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/>
                                <w:sz w:val="16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  <w:lang w:val="en-US" w:eastAsia="zh-CN"/>
                              </w:rPr>
                              <w:t>*A=primary SPS group; B=primary APR group; C=nCRT+SPS group; D=nCRT+APR group</w:t>
                            </w:r>
                          </w:p>
                          <w:p>
                            <w:pPr>
                              <w:rPr>
                                <w:rFonts w:hint="default"/>
                                <w:sz w:val="16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  <w:lang w:val="en-US" w:eastAsia="zh-CN"/>
                              </w:rPr>
                              <w:t>**Score difference (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n-US" w:eastAsia="zh-CN"/>
                              </w:rPr>
                              <w:t>∆</w:t>
                            </w:r>
                            <w:r>
                              <w:rPr>
                                <w:rFonts w:hint="eastAsia"/>
                                <w:sz w:val="16"/>
                                <w:szCs w:val="20"/>
                                <w:lang w:val="en-US" w:eastAsia="zh-CN"/>
                              </w:rPr>
                              <w:t>) in the range of 10 to 20 is considered moderate. ∆＞20 is considered major.</w:t>
                            </w:r>
                          </w:p>
                          <w:p>
                            <w:pPr>
                              <w:rPr>
                                <w:rFonts w:hint="default"/>
                                <w:sz w:val="16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  <w:lang w:val="en-US" w:eastAsia="zh-CN"/>
                              </w:rPr>
                              <w:t>***Two-sided α value was adjusted to 0.0083 by simple Bonferroni correction.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4.95pt;margin-top:2.05pt;height:57.2pt;width:393pt;z-index:251663360;mso-width-relative:page;mso-height-relative:page;" fillcolor="#FFFFFF [3201]" filled="t" stroked="f" coordsize="21600,21600" o:gfxdata="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vKcAAdMAAAAJAQAADwAAAAAA&#10;AAABACAAAAAiAAAAZHJzL2Rvd25yZXYueG1sUEsBAhQAFAAAAAgAh07iQFZfTb5RAgAAkQQAAA4A&#10;AAAAAAAAAQAgAAAAIgEAAGRycy9lMm9Eb2MueG1sUEsFBgAAAAAGAAYAWQEAAOU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sz w:val="16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6"/>
                          <w:szCs w:val="20"/>
                          <w:lang w:val="en-US" w:eastAsia="zh-CN"/>
                        </w:rPr>
                        <w:t>*A=primary SPS group; B=primary APR group; C=nCRT+SPS group; D=nCRT+APR group</w:t>
                      </w:r>
                    </w:p>
                    <w:p>
                      <w:pPr>
                        <w:rPr>
                          <w:rFonts w:hint="default"/>
                          <w:sz w:val="16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6"/>
                          <w:szCs w:val="20"/>
                          <w:lang w:val="en-US" w:eastAsia="zh-CN"/>
                        </w:rPr>
                        <w:t>**Score difference (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color w:val="000000"/>
                          <w:sz w:val="16"/>
                          <w:szCs w:val="16"/>
                          <w:lang w:val="en-US" w:eastAsia="zh-CN"/>
                        </w:rPr>
                        <w:t>∆</w:t>
                      </w:r>
                      <w:r>
                        <w:rPr>
                          <w:rFonts w:hint="eastAsia"/>
                          <w:sz w:val="16"/>
                          <w:szCs w:val="20"/>
                          <w:lang w:val="en-US" w:eastAsia="zh-CN"/>
                        </w:rPr>
                        <w:t>) in the range of 10 to 20 is considered moderate. ∆＞20 is considered major.</w:t>
                      </w:r>
                    </w:p>
                    <w:p>
                      <w:pPr>
                        <w:rPr>
                          <w:rFonts w:hint="default"/>
                          <w:sz w:val="16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6"/>
                          <w:szCs w:val="20"/>
                          <w:lang w:val="en-US" w:eastAsia="zh-CN"/>
                        </w:rPr>
                        <w:t>***Two-sided α value was adjusted to 0.0083 by simple Bonferroni correction.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b/>
          <w:bCs/>
          <w:sz w:val="24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b/>
          <w:bCs/>
          <w:sz w:val="24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b/>
          <w:bCs/>
          <w:sz w:val="24"/>
          <w:szCs w:val="32"/>
          <w:lang w:val="en-US" w:eastAsia="zh-CN"/>
        </w:rPr>
      </w:pPr>
    </w:p>
    <w:tbl>
      <w:tblPr>
        <w:tblStyle w:val="3"/>
        <w:tblpPr w:leftFromText="180" w:rightFromText="180" w:vertAnchor="text" w:horzAnchor="page" w:tblpX="3362" w:tblpY="673"/>
        <w:tblOverlap w:val="never"/>
        <w:tblW w:w="63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2479"/>
        <w:gridCol w:w="995"/>
        <w:gridCol w:w="8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502" w:type="dxa"/>
            <w:gridSpan w:val="3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jc w:val="left"/>
              <w:rPr>
                <w:rFonts w:hint="default" w:ascii="宋体" w:hAnsi="宋体" w:eastAsia="宋体" w:cs="宋体"/>
                <w:color w:val="000000"/>
                <w:sz w:val="16"/>
                <w:szCs w:val="16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Cs w:val="21"/>
                <w:lang w:val="en-US" w:eastAsia="zh-CN"/>
              </w:rPr>
              <w:t>Supplementary Table 6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028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top"/>
          </w:tcPr>
          <w:p>
            <w:pPr>
              <w:jc w:val="left"/>
              <w:rPr>
                <w:rFonts w:ascii="宋体" w:hAnsi="宋体" w:eastAsia="宋体" w:cs="宋体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6"/>
                <w:szCs w:val="16"/>
                <w:lang w:val="en-US" w:eastAsia="zh-CN"/>
              </w:rPr>
              <w:t>item</w:t>
            </w:r>
          </w:p>
        </w:tc>
        <w:tc>
          <w:tcPr>
            <w:tcW w:w="247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top"/>
          </w:tcPr>
          <w:p>
            <w:pPr>
              <w:jc w:val="left"/>
              <w:rPr>
                <w:rFonts w:ascii="宋体" w:hAnsi="宋体" w:eastAsia="宋体" w:cs="宋体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6"/>
                <w:szCs w:val="16"/>
                <w:lang w:val="en-US" w:eastAsia="zh-CN"/>
              </w:rPr>
              <w:t>∆ between subgroups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vertAlign w:val="superscript"/>
                <w:lang w:val="en-US" w:eastAsia="zh-CN"/>
              </w:rPr>
              <w:t>*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16"/>
                <w:szCs w:val="16"/>
                <w:lang w:val="en-US" w:eastAsia="zh-CN"/>
              </w:rPr>
              <w:t xml:space="preserve"> (95% CI)</w:t>
            </w:r>
          </w:p>
        </w:tc>
        <w:tc>
          <w:tcPr>
            <w:tcW w:w="995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6"/>
                <w:szCs w:val="16"/>
                <w:lang w:val="en-US" w:eastAsia="zh-CN"/>
              </w:rPr>
              <w:t>degree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vertAlign w:val="superscript"/>
                <w:lang w:val="en-US" w:eastAsia="zh-CN"/>
              </w:rPr>
              <w:t>**</w:t>
            </w:r>
          </w:p>
        </w:tc>
        <w:tc>
          <w:tcPr>
            <w:tcW w:w="852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6"/>
                <w:szCs w:val="16"/>
                <w:lang w:val="en-US" w:eastAsia="zh-CN"/>
              </w:rPr>
              <w:t>p value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vertAlign w:val="superscript"/>
                <w:lang w:val="en-US" w:eastAsia="zh-CN"/>
              </w:rPr>
              <w:t>***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Body image</w:t>
            </w: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6"/>
                <w:szCs w:val="16"/>
                <w:lang w:val="en-US" w:eastAsia="zh-CN"/>
              </w:rPr>
              <w:t xml:space="preserve">∆(A-B)= 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11.7 (4.0 to 19.5)</w:t>
            </w:r>
          </w:p>
          <w:p>
            <w:pPr>
              <w:rPr>
                <w:rFonts w:hint="default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6"/>
                <w:szCs w:val="16"/>
                <w:lang w:val="en-US" w:eastAsia="zh-CN"/>
              </w:rPr>
              <w:t xml:space="preserve">∆(A-D)= 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11.3 (0.3 to 22.4)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moderate</w:t>
            </w:r>
          </w:p>
          <w:p>
            <w:pP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moderate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＜0.001</w:t>
            </w: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0.007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宋体" w:hAnsi="宋体" w:eastAsia="宋体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6"/>
                <w:szCs w:val="16"/>
                <w:lang w:val="en-US" w:eastAsia="zh-CN" w:bidi="ar-SA"/>
              </w:rPr>
              <w:t>Bloating</w:t>
            </w: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宋体" w:hAnsi="宋体" w:eastAsia="宋体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6"/>
                <w:szCs w:val="16"/>
                <w:lang w:val="en-US" w:eastAsia="zh-CN"/>
              </w:rPr>
              <w:t xml:space="preserve">∆(A-B)= 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16"/>
                <w:szCs w:val="16"/>
                <w:lang w:val="en-US" w:eastAsia="zh-CN" w:bidi="ar-SA"/>
              </w:rPr>
              <w:t>10.7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 xml:space="preserve"> (0.9 to 20.5)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b/>
                <w:bCs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moderate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0.007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宋体" w:hAnsi="宋体" w:eastAsia="宋体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6"/>
                <w:szCs w:val="16"/>
                <w:lang w:val="en-US" w:eastAsia="zh-CN" w:bidi="ar-SA"/>
              </w:rPr>
              <w:t>Sore skin</w:t>
            </w: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宋体" w:hAnsi="宋体" w:eastAsia="宋体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6"/>
                <w:szCs w:val="16"/>
                <w:lang w:val="en-US" w:eastAsia="zh-CN"/>
              </w:rPr>
              <w:t xml:space="preserve">∆(A-B)= 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16"/>
                <w:szCs w:val="16"/>
                <w:lang w:val="en-US" w:eastAsia="zh-CN" w:bidi="ar-SA"/>
              </w:rPr>
              <w:t>-10.5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 xml:space="preserve"> (-19.7 to -1.4)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b/>
                <w:bCs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moderate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0.003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028" w:type="dxa"/>
            <w:vMerge w:val="restart"/>
            <w:tcBorders>
              <w:top w:val="nil"/>
              <w:left w:val="nil"/>
              <w:right w:val="nil"/>
            </w:tcBorders>
          </w:tcPr>
          <w:p>
            <w:pPr>
              <w:rPr>
                <w:rFonts w:hint="default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Stool frequency</w:t>
            </w: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6"/>
                <w:szCs w:val="16"/>
                <w:lang w:val="en-US" w:eastAsia="zh-CN"/>
              </w:rPr>
              <w:t xml:space="preserve">∆(A-B)= 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11.6 (-2.4 to 25.6)</w:t>
            </w:r>
          </w:p>
          <w:p>
            <w:pPr>
              <w:rPr>
                <w:rFonts w:hint="default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6"/>
                <w:szCs w:val="16"/>
                <w:lang w:val="en-US" w:eastAsia="zh-CN"/>
              </w:rPr>
              <w:t xml:space="preserve">∆(A-D)= 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20.5 (12.3 to 28.7)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moderate</w:t>
            </w:r>
          </w:p>
          <w:p>
            <w:pPr>
              <w:rPr>
                <w:rFonts w:hint="default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major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0.005</w:t>
            </w: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＜0.001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028" w:type="dxa"/>
            <w:vMerge w:val="continue"/>
            <w:tcBorders>
              <w:left w:val="nil"/>
              <w:bottom w:val="nil"/>
              <w:right w:val="nil"/>
            </w:tcBorders>
          </w:tcPr>
          <w:p>
            <w:pPr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6"/>
                <w:szCs w:val="16"/>
                <w:lang w:val="en-US" w:eastAsia="zh-CN"/>
              </w:rPr>
              <w:t xml:space="preserve">∆(C-B)= 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24.9 (7.6 to 42.2)</w:t>
            </w:r>
          </w:p>
          <w:p>
            <w:pPr>
              <w:rPr>
                <w:rFonts w:hint="default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6"/>
                <w:szCs w:val="16"/>
                <w:lang w:val="en-US" w:eastAsia="zh-CN"/>
              </w:rPr>
              <w:t xml:space="preserve">∆(C-D)= 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33.8 (22.3 to 45.3)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major</w:t>
            </w:r>
          </w:p>
          <w:p>
            <w:pP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major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＜0.001</w:t>
            </w: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＜0.001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Flatulence</w:t>
            </w: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6"/>
                <w:szCs w:val="16"/>
                <w:lang w:val="en-US" w:eastAsia="zh-CN"/>
              </w:rPr>
              <w:t xml:space="preserve">∆(C-B)= 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17.5 (-0.2 to 34.5)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eastAsia" w:ascii="宋体" w:hAnsi="宋体" w:eastAsia="宋体" w:cs="宋体"/>
                <w:b/>
                <w:bCs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moderate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0.002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02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Fecal incontinence</w:t>
            </w: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6"/>
                <w:szCs w:val="16"/>
                <w:lang w:val="en-US" w:eastAsia="zh-CN"/>
              </w:rPr>
              <w:t xml:space="preserve">∆(C-B)= 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23.8 (7.0 to 40.6)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宋体" w:hAnsi="宋体" w:eastAsia="宋体" w:cs="宋体"/>
                <w:b/>
                <w:bCs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major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＜0.001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028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宋体" w:hAnsi="宋体" w:eastAsia="宋体" w:cs="宋体"/>
                <w:color w:val="000000"/>
                <w:sz w:val="16"/>
                <w:szCs w:val="16"/>
              </w:rPr>
            </w:pP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6"/>
                <w:szCs w:val="16"/>
                <w:lang w:val="en-US" w:eastAsia="zh-CN"/>
              </w:rPr>
              <w:t xml:space="preserve">∆(C-D)= 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28.1 (10.7 to 45.5)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宋体" w:hAnsi="宋体" w:eastAsia="宋体" w:cs="宋体"/>
                <w:b/>
                <w:bCs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major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＜0.001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宋体" w:hAnsi="宋体" w:eastAsia="宋体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Embarrassment</w:t>
            </w: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宋体" w:hAnsi="宋体" w:eastAsia="宋体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6"/>
                <w:szCs w:val="16"/>
                <w:lang w:val="en-US" w:eastAsia="zh-CN"/>
              </w:rPr>
              <w:t xml:space="preserve">∆(C-A)= 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16"/>
                <w:szCs w:val="16"/>
                <w:lang w:val="en-US" w:eastAsia="zh-CN" w:bidi="ar-SA"/>
              </w:rPr>
              <w:t>23.0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 xml:space="preserve"> (-27.8 to 72.6)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b/>
                <w:bCs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major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0.005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028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rPr>
                <w:rFonts w:hint="default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Dyspareunia</w:t>
            </w:r>
          </w:p>
        </w:tc>
        <w:tc>
          <w:tcPr>
            <w:tcW w:w="2479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rPr>
                <w:rFonts w:hint="default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6"/>
                <w:szCs w:val="16"/>
                <w:lang w:val="en-US" w:eastAsia="zh-CN"/>
              </w:rPr>
              <w:t xml:space="preserve">∆(C-A)= 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21.8 (-21.0 to 64.7)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rPr>
                <w:rFonts w:hint="eastAsia" w:ascii="宋体" w:hAnsi="宋体" w:eastAsia="宋体" w:cs="宋体"/>
                <w:b/>
                <w:bCs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  <w:t>major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</w:rPr>
              <w:t>0.007</w:t>
            </w:r>
          </w:p>
        </w:tc>
      </w:tr>
    </w:tbl>
    <w:p>
      <w:pPr>
        <w:spacing w:beforeLines="0" w:afterLines="0"/>
        <w:jc w:val="left"/>
        <w:rPr>
          <w:rFonts w:hint="default"/>
          <w:sz w:val="24"/>
          <w:szCs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830580</wp:posOffset>
                </wp:positionH>
                <wp:positionV relativeFrom="paragraph">
                  <wp:posOffset>3954780</wp:posOffset>
                </wp:positionV>
                <wp:extent cx="4991100" cy="726440"/>
                <wp:effectExtent l="0" t="0" r="0" b="1651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1100" cy="726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/>
                                <w:sz w:val="16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  <w:lang w:val="en-US" w:eastAsia="zh-CN"/>
                              </w:rPr>
                              <w:t>*A=primary SPS group; B=primary APR group; C=nCRT+SPS group; D=nCRT+APR group</w:t>
                            </w:r>
                          </w:p>
                          <w:p>
                            <w:pPr>
                              <w:rPr>
                                <w:rFonts w:hint="default"/>
                                <w:sz w:val="16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  <w:lang w:val="en-US" w:eastAsia="zh-CN"/>
                              </w:rPr>
                              <w:t>**Score difference (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n-US" w:eastAsia="zh-CN"/>
                              </w:rPr>
                              <w:t>∆</w:t>
                            </w:r>
                            <w:r>
                              <w:rPr>
                                <w:rFonts w:hint="eastAsia"/>
                                <w:sz w:val="16"/>
                                <w:szCs w:val="20"/>
                                <w:lang w:val="en-US" w:eastAsia="zh-CN"/>
                              </w:rPr>
                              <w:t>) in the range of 10 to 20 is considered moderate. ∆＞20 is considered major.</w:t>
                            </w:r>
                          </w:p>
                          <w:p>
                            <w:pPr>
                              <w:rPr>
                                <w:rFonts w:hint="default"/>
                                <w:sz w:val="16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  <w:lang w:val="en-US" w:eastAsia="zh-CN"/>
                              </w:rPr>
                              <w:t>***Two-sided α value was adjusted to 0.0083 by simple Bonferroni correction.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5.4pt;margin-top:311.4pt;height:57.2pt;width:393pt;z-index:251664384;mso-width-relative:page;mso-height-relative:page;" fillcolor="#FFFFFF [3201]" filled="t" stroked="f" coordsize="21600,21600" o:gfxdata="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jRQeedUAAAALAQAADwAA&#10;AAAAAAABACAAAAAiAAAAZHJzL2Rvd25yZXYueG1sUEsBAhQAFAAAAAgAh07iQKmZEPJSAgAAkQQA&#10;AA4AAAAAAAAAAQAgAAAAJAEAAGRycy9lMm9Eb2MueG1sUEsFBgAAAAAGAAYAWQEAAOg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sz w:val="16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6"/>
                          <w:szCs w:val="20"/>
                          <w:lang w:val="en-US" w:eastAsia="zh-CN"/>
                        </w:rPr>
                        <w:t>*A=primary SPS group; B=primary APR group; C=nCRT+SPS group; D=nCRT+APR group</w:t>
                      </w:r>
                    </w:p>
                    <w:p>
                      <w:pPr>
                        <w:rPr>
                          <w:rFonts w:hint="default"/>
                          <w:sz w:val="16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6"/>
                          <w:szCs w:val="20"/>
                          <w:lang w:val="en-US" w:eastAsia="zh-CN"/>
                        </w:rPr>
                        <w:t>**Score difference (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color w:val="000000"/>
                          <w:sz w:val="16"/>
                          <w:szCs w:val="16"/>
                          <w:lang w:val="en-US" w:eastAsia="zh-CN"/>
                        </w:rPr>
                        <w:t>∆</w:t>
                      </w:r>
                      <w:r>
                        <w:rPr>
                          <w:rFonts w:hint="eastAsia"/>
                          <w:sz w:val="16"/>
                          <w:szCs w:val="20"/>
                          <w:lang w:val="en-US" w:eastAsia="zh-CN"/>
                        </w:rPr>
                        <w:t>) in the range of 10 to 20 is considered moderate. ∆＞20 is considered major.</w:t>
                      </w:r>
                    </w:p>
                    <w:p>
                      <w:pPr>
                        <w:rPr>
                          <w:rFonts w:hint="default"/>
                          <w:sz w:val="16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6"/>
                          <w:szCs w:val="20"/>
                          <w:lang w:val="en-US" w:eastAsia="zh-CN"/>
                        </w:rPr>
                        <w:t>***Two-sided α value was adjusted to 0.0083 by simple Bonferroni correction.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/>
          <w:b/>
          <w:bCs/>
          <w:sz w:val="24"/>
          <w:szCs w:val="32"/>
          <w:lang w:val="en-US" w:eastAsia="zh-CN"/>
        </w:rPr>
        <w:fldChar w:fldCharType="begin"/>
      </w:r>
      <w:r>
        <w:rPr>
          <w:rFonts w:hint="eastAsia"/>
          <w:b/>
          <w:bCs/>
          <w:sz w:val="24"/>
          <w:szCs w:val="32"/>
          <w:lang w:val="en-US" w:eastAsia="zh-CN"/>
        </w:rPr>
        <w:instrText xml:space="preserve"> ADDIN NE.Rep</w:instrText>
      </w:r>
      <w:r>
        <w:rPr>
          <w:rFonts w:hint="default"/>
          <w:b/>
          <w:bCs/>
          <w:sz w:val="24"/>
          <w:szCs w:val="32"/>
          <w:lang w:val="en-US" w:eastAsia="zh-CN"/>
        </w:rPr>
        <w:fldChar w:fldCharType="separate"/>
      </w:r>
    </w:p>
    <w:p>
      <w:pPr>
        <w:spacing w:beforeLines="0" w:afterLines="0"/>
        <w:jc w:val="left"/>
        <w:rPr>
          <w:rFonts w:hint="default"/>
          <w:b/>
          <w:bCs/>
          <w:sz w:val="24"/>
          <w:szCs w:val="32"/>
          <w:lang w:val="en-US" w:eastAsia="zh-CN"/>
        </w:rPr>
      </w:pPr>
      <w:r>
        <w:rPr>
          <w:rFonts w:hint="default"/>
          <w:b/>
          <w:bCs/>
          <w:sz w:val="24"/>
          <w:szCs w:val="32"/>
          <w:lang w:val="en-US" w:eastAsia="zh-CN"/>
        </w:rPr>
        <w:fldChar w:fldCharType="end"/>
      </w:r>
    </w:p>
    <w:p/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73068B"/>
    <w:rsid w:val="31E6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2021-01-29T02:12:00Z</dcterms:created>
  <dc:creator>Administrator</dc:creator>
  <cp:lastModifiedBy>呙耀宇</cp:lastModifiedBy>
  <dcterms:modified xsi:type="dcterms:W3CDTF">2021-12-19T10:03:58Z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E7075839EB6D4C23A5094672E4530C09</vt:lpwstr>
  </property>
</Properties>
</file>