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8A3" w:rsidRDefault="00FD68A3" w:rsidP="00FD68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One-pot synthesis</w:t>
      </w:r>
      <w:r w:rsidRPr="00620784">
        <w:rPr>
          <w:rFonts w:ascii="Times New Roman" w:hAnsi="Times New Roman" w:cs="Times New Roman"/>
          <w:b/>
          <w:sz w:val="24"/>
          <w:szCs w:val="24"/>
        </w:rPr>
        <w:t xml:space="preserve"> of zinc oxide nanoparticle for b</w:t>
      </w:r>
      <w:bookmarkStart w:id="0" w:name="_GoBack"/>
      <w:bookmarkEnd w:id="0"/>
      <w:r w:rsidRPr="00620784">
        <w:rPr>
          <w:rFonts w:ascii="Times New Roman" w:hAnsi="Times New Roman" w:cs="Times New Roman"/>
          <w:b/>
          <w:sz w:val="24"/>
          <w:szCs w:val="24"/>
        </w:rPr>
        <w:t xml:space="preserve">romophenol blue </w:t>
      </w:r>
      <w:r>
        <w:rPr>
          <w:rFonts w:ascii="Times New Roman" w:hAnsi="Times New Roman" w:cs="Times New Roman"/>
          <w:b/>
          <w:sz w:val="24"/>
          <w:szCs w:val="24"/>
        </w:rPr>
        <w:t xml:space="preserve">adsorption </w:t>
      </w:r>
      <w:r w:rsidRPr="00620784">
        <w:rPr>
          <w:rFonts w:ascii="Times New Roman" w:hAnsi="Times New Roman" w:cs="Times New Roman"/>
          <w:b/>
          <w:sz w:val="24"/>
          <w:szCs w:val="24"/>
        </w:rPr>
        <w:t>and its antifungal activity against filamentous fungi</w:t>
      </w:r>
    </w:p>
    <w:p w:rsidR="00C24B3F" w:rsidRPr="00C60393" w:rsidRDefault="00C24B3F" w:rsidP="00C24B3F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Kovo G. Akpomie</w:t>
      </w:r>
      <w:r w:rsidRPr="00DC6E8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proofErr w:type="gramStart"/>
      <w:r w:rsidRPr="00DC6E85">
        <w:rPr>
          <w:rFonts w:ascii="Times New Roman" w:hAnsi="Times New Roman" w:cs="Times New Roman"/>
          <w:b/>
          <w:sz w:val="24"/>
          <w:szCs w:val="24"/>
          <w:vertAlign w:val="superscript"/>
        </w:rPr>
        <w:t>,2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Soumya Ghosh</w:t>
      </w:r>
      <w:r w:rsidRPr="004256E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, Marieka Gryzenhout</w:t>
      </w:r>
      <w:r w:rsidRPr="004256E3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, Jeanet Conradie</w:t>
      </w:r>
      <w:r w:rsidRPr="00DC6E85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4B3F" w:rsidRDefault="00C24B3F" w:rsidP="00C24B3F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B3F" w:rsidRPr="00DC6E85" w:rsidRDefault="00C24B3F" w:rsidP="00C24B3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E8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6E85">
        <w:rPr>
          <w:rFonts w:ascii="Times New Roman" w:hAnsi="Times New Roman" w:cs="Times New Roman"/>
          <w:sz w:val="24"/>
          <w:szCs w:val="24"/>
        </w:rPr>
        <w:t>Department of Chemistry, University of the Free State, Bloemfontein, South Africa.</w:t>
      </w:r>
    </w:p>
    <w:p w:rsidR="00C24B3F" w:rsidRDefault="00C24B3F" w:rsidP="00C24B3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6E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6E85">
        <w:rPr>
          <w:rFonts w:ascii="Times New Roman" w:hAnsi="Times New Roman" w:cs="Times New Roman"/>
          <w:sz w:val="24"/>
          <w:szCs w:val="24"/>
        </w:rPr>
        <w:t>Department of Pure &amp; Industrial Chemistry, University of Nigeria, Nsukka, Nigeria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B3F" w:rsidRDefault="00C24B3F" w:rsidP="00C24B3F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6E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Department of Genetics, University of the Free State, ZA9300, Bloemfontein, South Africa.</w:t>
      </w:r>
    </w:p>
    <w:p w:rsidR="009B5BEE" w:rsidRDefault="009B5BEE" w:rsidP="009B5BEE">
      <w:pPr>
        <w:spacing w:after="0" w:line="360" w:lineRule="auto"/>
        <w:contextualSpacing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*</w:t>
      </w:r>
      <w:hyperlink r:id="rId5" w:history="1">
        <w:r w:rsidRPr="00F25742">
          <w:rPr>
            <w:rStyle w:val="Hyperlink"/>
            <w:rFonts w:ascii="Times New Roman" w:hAnsi="Times New Roman" w:cs="Times New Roman"/>
            <w:sz w:val="24"/>
            <w:szCs w:val="24"/>
          </w:rPr>
          <w:t>kovo.akpomie@unn.edu.ng</w:t>
        </w:r>
      </w:hyperlink>
      <w:r w:rsidR="00FD68A3">
        <w:rPr>
          <w:rStyle w:val="Hyperlink"/>
          <w:rFonts w:ascii="Times New Roman" w:hAnsi="Times New Roman" w:cs="Times New Roman"/>
          <w:sz w:val="24"/>
          <w:szCs w:val="24"/>
        </w:rPr>
        <w:t>;</w:t>
      </w:r>
    </w:p>
    <w:p w:rsidR="009B5BEE" w:rsidRDefault="009B5BEE" w:rsidP="009B5BE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4B3F" w:rsidRPr="00C24B3F" w:rsidRDefault="00C24B3F">
      <w:pPr>
        <w:rPr>
          <w:rFonts w:ascii="Times New Roman" w:hAnsi="Times New Roman" w:cs="Times New Roman"/>
          <w:b/>
          <w:sz w:val="24"/>
          <w:szCs w:val="24"/>
        </w:rPr>
      </w:pPr>
      <w:r w:rsidRPr="00C24B3F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C24B3F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Adsorption isotherm modeling</w:t>
      </w:r>
    </w:p>
    <w:p w:rsidR="00C24B3F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isotherm modeling of BRB adsorption onto the prepared ZnONP was studied by the Langmuir, Freundlich, Temkin and Flory Huggins models, given respectively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10.1016/j.cherd.2018.03.030","ISSN":"02638762","author":[{"dropping-particle":"","family":"Diraki","given":"Ahmad","non-dropping-particle":"","parse-names":false,"suffix":""},{"dropping-particle":"","family":"Mackey","given":"Hamish","non-dropping-particle":"","parse-names":false,"suffix":""},{"dropping-particle":"","family":"McKay","given":"Gordon","non-dropping-particle":"","parse-names":false,"suffix":""},{"dropping-particle":"","family":"Abdala","given":"Ahmed A.","non-dropping-particle":"","parse-names":false,"suffix":""}],"container-title":"Chemical Engineering Research and Design","id":"ITEM-1","issued":{"date-parts":[["2018","9"]]},"page":"47-59","title":"Removal of oil from oil–water emulsions using thermally reduced graphene and graphene nanoplatelets","type":"article-journal","volume":"137"},"uris":["http://www.mendeley.com/documents/?uuid=07ecfde4-bce1-4bea-864c-782ea3b5669d"]}],"mendeley":{"formattedCitation":"&lt;sup&gt;1&lt;/sup&gt;","plainTextFormattedCitation":"1","previouslyFormattedCitation":"(Diraki et al., 2018)"},"properties":{"noteIndex":0},"schema":"https://github.com/citation-style-language/schema/raw/master/csl-citation.json"}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C24B3F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4B3F" w:rsidRPr="00F30157" w:rsidRDefault="00FD68A3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                                      (1)</m:t>
          </m:r>
        </m:oMath>
      </m:oMathPara>
    </w:p>
    <w:p w:rsidR="00C24B3F" w:rsidRPr="00F30157" w:rsidRDefault="00FD68A3" w:rsidP="00C24B3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log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e>
          </m:func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log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sub>
              </m:sSub>
            </m:e>
          </m:func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den>
              </m:f>
            </m:e>
          </m:d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log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e>
          </m:func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             (2)</m:t>
          </m:r>
        </m:oMath>
      </m:oMathPara>
    </w:p>
    <w:p w:rsidR="00C24B3F" w:rsidRPr="00C24B3F" w:rsidRDefault="00FD68A3" w:rsidP="00C24B3F">
      <w:pPr>
        <w:spacing w:line="360" w:lineRule="auto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B</m:t>
          </m:r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e>
          </m:func>
          <m:r>
            <w:rPr>
              <w:rFonts w:ascii="Cambria Math" w:hAnsi="Cambria Math"/>
            </w:rPr>
            <m:t xml:space="preserve">                                                                                                    (3)</m:t>
          </m:r>
        </m:oMath>
      </m:oMathPara>
    </w:p>
    <w:p w:rsidR="00C24B3F" w:rsidRPr="001C056E" w:rsidRDefault="00C24B3F" w:rsidP="00C2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Times" w:hAnsi="Times New Roman" w:cs="Times New Roman"/>
          <w:sz w:val="24"/>
          <w:szCs w:val="24"/>
        </w:rPr>
      </w:pPr>
      <m:oMathPara>
        <m:oMath>
          <m:r>
            <w:rPr>
              <w:rFonts w:ascii="Cambria Math" w:eastAsia="AdvTimes" w:hAnsi="Cambria Math" w:cs="Times New Roman"/>
              <w:sz w:val="24"/>
              <w:szCs w:val="24"/>
            </w:rPr>
            <m:t xml:space="preserve"> Log</m:t>
          </m:r>
          <m:f>
            <m:fPr>
              <m:ctrlPr>
                <w:rPr>
                  <w:rFonts w:ascii="Cambria Math" w:eastAsia="AdvTimes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θ</m:t>
              </m:r>
            </m:num>
            <m:den>
              <m:sSub>
                <m:sSubPr>
                  <m:ctrlPr>
                    <w:rPr>
                      <w:rFonts w:ascii="Cambria Math" w:eastAsia="AdvTimes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AdvTimes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AdvTimes" w:hAnsi="Cambria Math" w:cs="Times New Roman"/>
                      <w:sz w:val="24"/>
                      <w:szCs w:val="24"/>
                    </w:rPr>
                    <m:t>O</m:t>
                  </m:r>
                </m:sub>
              </m:sSub>
            </m:den>
          </m:f>
          <m:r>
            <w:rPr>
              <w:rFonts w:ascii="Cambria Math" w:eastAsia="AdvTimes" w:hAnsi="Cambria Math" w:cs="Times New Roman"/>
              <w:sz w:val="24"/>
              <w:szCs w:val="24"/>
            </w:rPr>
            <m:t>=Log</m:t>
          </m:r>
          <m:sSub>
            <m:sSubPr>
              <m:ctrlPr>
                <w:rPr>
                  <w:rFonts w:ascii="Cambria Math" w:eastAsia="AdvTimes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FH</m:t>
              </m:r>
            </m:sub>
          </m:sSub>
          <m:r>
            <w:rPr>
              <w:rFonts w:ascii="Cambria Math" w:eastAsia="AdvTimes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AdvTimes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FH</m:t>
              </m:r>
            </m:sub>
          </m:sSub>
          <m:r>
            <w:rPr>
              <w:rFonts w:ascii="Cambria Math" w:eastAsia="AdvTimes" w:hAnsi="Cambria Math" w:cs="Times New Roman"/>
              <w:sz w:val="24"/>
              <w:szCs w:val="24"/>
            </w:rPr>
            <m:t>Log</m:t>
          </m:r>
          <m:d>
            <m:dPr>
              <m:ctrlPr>
                <w:rPr>
                  <w:rFonts w:ascii="Cambria Math" w:eastAsia="AdvTimes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AdvTimes" w:hAnsi="Cambria Math" w:cs="Times New Roman"/>
                  <w:sz w:val="24"/>
                  <w:szCs w:val="24"/>
                </w:rPr>
                <m:t>1-θ</m:t>
              </m:r>
            </m:e>
          </m:d>
          <m:r>
            <w:rPr>
              <w:rFonts w:ascii="Cambria Math" w:eastAsia="AdvTimes" w:hAnsi="Cambria Math" w:cs="Times New Roman"/>
              <w:sz w:val="24"/>
              <w:szCs w:val="24"/>
            </w:rPr>
            <m:t xml:space="preserve">                                                            (4)</m:t>
          </m:r>
        </m:oMath>
      </m:oMathPara>
    </w:p>
    <w:p w:rsidR="00C24B3F" w:rsidRPr="00E53BC7" w:rsidRDefault="00C24B3F" w:rsidP="00C24B3F">
      <w:pPr>
        <w:spacing w:line="360" w:lineRule="auto"/>
        <w:rPr>
          <w:rFonts w:eastAsiaTheme="minorEastAsia"/>
        </w:rPr>
      </w:pPr>
    </w:p>
    <w:p w:rsidR="00C24B3F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BC7">
        <w:rPr>
          <w:rFonts w:ascii="Times New Roman" w:hAnsi="Times New Roman" w:cs="Times New Roman"/>
          <w:sz w:val="24"/>
          <w:szCs w:val="24"/>
        </w:rPr>
        <w:t xml:space="preserve">Where </w:t>
      </w:r>
      <w:r w:rsidRPr="00E53BC7">
        <w:rPr>
          <w:rFonts w:ascii="Times New Roman" w:hAnsi="Times New Roman" w:cs="Times New Roman"/>
          <w:i/>
          <w:sz w:val="24"/>
          <w:szCs w:val="24"/>
        </w:rPr>
        <w:t>K</w:t>
      </w:r>
      <w:r w:rsidRPr="00E53BC7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(L/</w:t>
      </w:r>
      <w:r w:rsidRPr="00E53BC7"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 xml:space="preserve"> is the Langmuir constant corresponding to the bonding energy,</w:t>
      </w:r>
      <w:r w:rsidRPr="00E53B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BC7">
        <w:rPr>
          <w:rFonts w:ascii="Times New Roman" w:hAnsi="Times New Roman" w:cs="Times New Roman"/>
          <w:i/>
          <w:sz w:val="24"/>
          <w:szCs w:val="24"/>
        </w:rPr>
        <w:t>q</w:t>
      </w:r>
      <w:r w:rsidRPr="00E53BC7">
        <w:rPr>
          <w:rFonts w:ascii="Times New Roman" w:hAnsi="Times New Roman" w:cs="Times New Roman"/>
          <w:i/>
          <w:sz w:val="24"/>
          <w:szCs w:val="24"/>
          <w:vertAlign w:val="subscript"/>
        </w:rPr>
        <w:t>L</w:t>
      </w:r>
      <w:proofErr w:type="spellEnd"/>
      <w:r w:rsidRPr="00E53BC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53BC7">
        <w:rPr>
          <w:rFonts w:ascii="Times New Roman" w:hAnsi="Times New Roman" w:cs="Times New Roman"/>
          <w:sz w:val="24"/>
          <w:szCs w:val="24"/>
        </w:rPr>
        <w:t>g/g)</w:t>
      </w:r>
      <w:r>
        <w:rPr>
          <w:rFonts w:ascii="Times New Roman" w:hAnsi="Times New Roman" w:cs="Times New Roman"/>
          <w:sz w:val="24"/>
          <w:szCs w:val="24"/>
        </w:rPr>
        <w:t xml:space="preserve"> is the maximum monolayer adsorption capacity, </w:t>
      </w:r>
      <w:r w:rsidRPr="00E53BC7">
        <w:rPr>
          <w:rFonts w:ascii="Times New Roman" w:hAnsi="Times New Roman" w:cs="Times New Roman"/>
          <w:sz w:val="24"/>
          <w:szCs w:val="24"/>
        </w:rPr>
        <w:t>C</w:t>
      </w:r>
      <w:r w:rsidRPr="00E53BC7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E53BC7">
        <w:rPr>
          <w:rFonts w:ascii="Times New Roman" w:hAnsi="Times New Roman" w:cs="Times New Roman"/>
          <w:sz w:val="24"/>
          <w:szCs w:val="24"/>
        </w:rPr>
        <w:t xml:space="preserve"> (g/L)</w:t>
      </w:r>
      <w:r>
        <w:rPr>
          <w:rFonts w:ascii="Times New Roman" w:hAnsi="Times New Roman" w:cs="Times New Roman"/>
          <w:sz w:val="24"/>
          <w:szCs w:val="24"/>
        </w:rPr>
        <w:t xml:space="preserve"> represents the initial BRB concentration, while Ce (g/L) is the BRB concentration at </w:t>
      </w:r>
      <w:r w:rsidRPr="00E53BC7">
        <w:rPr>
          <w:rFonts w:ascii="Times New Roman" w:hAnsi="Times New Roman" w:cs="Times New Roman"/>
          <w:sz w:val="24"/>
          <w:szCs w:val="24"/>
        </w:rPr>
        <w:t>equilibrium</w:t>
      </w:r>
      <w:r>
        <w:rPr>
          <w:rFonts w:ascii="Times New Roman" w:hAnsi="Times New Roman" w:cs="Times New Roman"/>
          <w:sz w:val="24"/>
          <w:szCs w:val="24"/>
        </w:rPr>
        <w:t xml:space="preserve">. The Freundlich parameter </w:t>
      </w:r>
      <w:r w:rsidRPr="00E53BC7">
        <w:rPr>
          <w:rFonts w:ascii="Times New Roman" w:hAnsi="Times New Roman" w:cs="Times New Roman"/>
          <w:i/>
          <w:sz w:val="24"/>
          <w:szCs w:val="24"/>
        </w:rPr>
        <w:t>K</w:t>
      </w:r>
      <w:r w:rsidRPr="00E53BC7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>(L/kg) is the sorption</w:t>
      </w:r>
      <w:r w:rsidRPr="00E53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intensity, </w:t>
      </w:r>
      <w:r w:rsidRPr="0033276A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is the adsorption capacity, while the Temkin constants </w:t>
      </w:r>
      <w:r w:rsidRPr="00E53BC7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(L/</w:t>
      </w:r>
      <w:r w:rsidRPr="00E53BC7"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3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B corresponds to the binding energy and heat of adsorption respectively. The symbols </w:t>
      </w:r>
      <w:r w:rsidRPr="003C2BA7">
        <w:rPr>
          <w:rFonts w:ascii="Times New Roman" w:hAnsi="Times New Roman" w:cs="Times New Roman"/>
          <w:i/>
          <w:sz w:val="24"/>
          <w:szCs w:val="24"/>
        </w:rPr>
        <w:t>n</w:t>
      </w:r>
      <w:r w:rsidRPr="003C2BA7">
        <w:rPr>
          <w:rFonts w:ascii="Times New Roman" w:hAnsi="Times New Roman" w:cs="Times New Roman"/>
          <w:i/>
          <w:sz w:val="24"/>
          <w:szCs w:val="24"/>
          <w:vertAlign w:val="subscript"/>
        </w:rPr>
        <w:t>FH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3C2BA7">
        <w:rPr>
          <w:rFonts w:ascii="Times New Roman" w:hAnsi="Times New Roman" w:cs="Times New Roman"/>
          <w:i/>
          <w:sz w:val="24"/>
          <w:szCs w:val="24"/>
        </w:rPr>
        <w:t>K</w:t>
      </w:r>
      <w:r w:rsidRPr="003C2BA7">
        <w:rPr>
          <w:rFonts w:ascii="Times New Roman" w:hAnsi="Times New Roman" w:cs="Times New Roman"/>
          <w:i/>
          <w:sz w:val="24"/>
          <w:szCs w:val="24"/>
          <w:vertAlign w:val="subscript"/>
        </w:rPr>
        <w:t>FH</w:t>
      </w:r>
      <w:r>
        <w:rPr>
          <w:rFonts w:ascii="Times New Roman" w:hAnsi="Times New Roman" w:cs="Times New Roman"/>
          <w:sz w:val="24"/>
          <w:szCs w:val="24"/>
        </w:rPr>
        <w:t xml:space="preserve"> are the Flory Huggins constants and </w:t>
      </w:r>
      <w:r w:rsidRPr="003C2BA7">
        <w:rPr>
          <w:rFonts w:ascii="Times New Roman" w:hAnsi="Times New Roman" w:cs="Times New Roman"/>
          <w:sz w:val="24"/>
          <w:szCs w:val="24"/>
        </w:rPr>
        <w:t>θ = [1 – (C</w:t>
      </w:r>
      <w:r w:rsidRPr="003C2BA7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3C2BA7">
        <w:rPr>
          <w:rFonts w:ascii="Times New Roman" w:hAnsi="Times New Roman" w:cs="Times New Roman"/>
          <w:sz w:val="24"/>
          <w:szCs w:val="24"/>
        </w:rPr>
        <w:t>/C</w:t>
      </w:r>
      <w:r w:rsidRPr="003C2BA7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3C2BA7">
        <w:rPr>
          <w:rFonts w:ascii="Times New Roman" w:hAnsi="Times New Roman" w:cs="Times New Roman"/>
          <w:sz w:val="24"/>
          <w:szCs w:val="24"/>
        </w:rPr>
        <w:t>)]</w:t>
      </w:r>
      <w:r>
        <w:rPr>
          <w:rFonts w:ascii="Times New Roman" w:hAnsi="Times New Roman" w:cs="Times New Roman"/>
          <w:sz w:val="24"/>
          <w:szCs w:val="24"/>
        </w:rPr>
        <w:t xml:space="preserve"> represents the uptake surface coverage.</w:t>
      </w:r>
    </w:p>
    <w:p w:rsidR="00C24B3F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B3F" w:rsidRPr="0033276A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76A">
        <w:rPr>
          <w:rFonts w:ascii="Times New Roman" w:hAnsi="Times New Roman" w:cs="Times New Roman"/>
          <w:b/>
          <w:sz w:val="24"/>
          <w:szCs w:val="24"/>
        </w:rPr>
        <w:lastRenderedPageBreak/>
        <w:t>Sorption kinetics</w:t>
      </w:r>
    </w:p>
    <w:p w:rsidR="00C24B3F" w:rsidRDefault="00C24B3F" w:rsidP="00C24B3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process kinetics of BRB adsorption onto ZnONP was study by the Pseudo-first-order , Pseudo-second-order, intraparticle diffusion and Liquid film diffusion models given respectively </w:t>
      </w: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{"citationItems":[{"id":"ITEM-1","itemData":{"DOI":"10.1080/15226514.2020.1725869","ISSN":"1522-6514","author":[{"dropping-particle":"","family":"Ezekoye","given":"Oluchi M.","non-dropping-particle":"","parse-names":false,"suffix":""},{"dropping-particle":"","family":"Akpomie","given":"Kovo G.","non-dropping-particle":"","parse-names":false,"suffix":""},{"dropping-particle":"","family":"Eze","given":"Samson I.","non-dropping-particle":"","parse-names":false,"suffix":""},{"dropping-particle":"","family":"Chukwujindu","given":"Christian N.","non-dropping-particle":"","parse-names":false,"suffix":""},{"dropping-particle":"","family":"Ani","given":"Julius U.","non-dropping-particle":"","parse-names":false,"suffix":""},{"dropping-particle":"","family":"Ujam","given":"Oguejiofo T.","non-dropping-particle":"","parse-names":false,"suffix":""}],"container-title":"International Journal of Phytoremediation","id":"ITEM-1","issue":"10","issued":{"date-parts":[["2020"]]},"page":"1028-1037","publisher":"Taylor &amp; Francis","title":"Biosorptive interaction of alkaline modified Dialium guineense seed powders with ciprofloxacin in contaminated solution: central composite, kinetics, isotherm, thermodynamics, and desorption","type":"article-journal","volume":"22"},"uris":["http://www.mendeley.com/documents/?uuid=75cae5a4-5a8b-4384-99f1-ea1fe19e3c83"]}],"mendeley":{"formattedCitation":"&lt;sup&gt;2&lt;/sup&gt;","plainTextFormattedCitation":"2","previouslyFormattedCitation":"(Ezekoye et al., 2020)"},"properties":{"noteIndex":0},"schema":"https://github.com/citation-style-language/schema/raw/master/csl-citation.json"}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C24B3F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4B3F" w:rsidRPr="00043079" w:rsidRDefault="00FD68A3" w:rsidP="00C2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log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2.303</m:t>
                      </m:r>
                    </m:den>
                  </m:f>
                </m:e>
              </m:func>
            </m:e>
          </m:func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t                                                                             (5)</m:t>
          </m:r>
        </m:oMath>
      </m:oMathPara>
    </w:p>
    <w:p w:rsidR="00C24B3F" w:rsidRPr="00043079" w:rsidRDefault="00FD68A3" w:rsidP="00C2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                                                                                          (6)</m:t>
          </m:r>
        </m:oMath>
      </m:oMathPara>
    </w:p>
    <w:p w:rsidR="00C24B3F" w:rsidRPr="001C056E" w:rsidRDefault="00FD68A3" w:rsidP="00C2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p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+C                                                                                                           (7)</m:t>
          </m:r>
        </m:oMath>
      </m:oMathPara>
    </w:p>
    <w:p w:rsidR="001C056E" w:rsidRPr="001C056E" w:rsidRDefault="001C056E" w:rsidP="001C05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Ln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1-F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=Y-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FD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t                                                                                               (8)</m:t>
          </m:r>
        </m:oMath>
      </m:oMathPara>
    </w:p>
    <w:p w:rsidR="00C24B3F" w:rsidRPr="00043079" w:rsidRDefault="00C24B3F" w:rsidP="00C24B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12"/>
          <w:szCs w:val="24"/>
        </w:rPr>
      </w:pPr>
    </w:p>
    <w:p w:rsidR="00C24B3F" w:rsidRDefault="00C24B3F" w:rsidP="00C24B3F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079"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 w:rsidRPr="00043079">
        <w:rPr>
          <w:rFonts w:ascii="Times New Roman" w:hAnsi="Times New Roman" w:cs="Times New Roman"/>
          <w:i/>
          <w:sz w:val="24"/>
          <w:szCs w:val="24"/>
        </w:rPr>
        <w:t>qt</w:t>
      </w:r>
      <w:proofErr w:type="spellEnd"/>
      <w:r w:rsidRPr="00043079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C056E">
        <w:rPr>
          <w:rFonts w:ascii="Times New Roman" w:hAnsi="Times New Roman" w:cs="Times New Roman"/>
          <w:sz w:val="24"/>
          <w:szCs w:val="24"/>
        </w:rPr>
        <w:t>g/g) is the ZnONP ads</w:t>
      </w:r>
      <w:r>
        <w:rPr>
          <w:rFonts w:ascii="Times New Roman" w:hAnsi="Times New Roman" w:cs="Times New Roman"/>
          <w:sz w:val="24"/>
          <w:szCs w:val="24"/>
        </w:rPr>
        <w:t>orption capacity at a time</w:t>
      </w:r>
      <w:r w:rsidRPr="004D58C8">
        <w:rPr>
          <w:rFonts w:ascii="Times New Roman" w:hAnsi="Times New Roman" w:cs="Times New Roman"/>
          <w:i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 (min), </w:t>
      </w:r>
      <w:r w:rsidRPr="00043079">
        <w:rPr>
          <w:rFonts w:ascii="Times New Roman" w:hAnsi="Times New Roman" w:cs="Times New Roman"/>
          <w:i/>
          <w:sz w:val="24"/>
          <w:szCs w:val="24"/>
        </w:rPr>
        <w:t>K</w:t>
      </w:r>
      <w:r w:rsidRPr="00043079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Pr="004D58C8"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 w:rsidRPr="004D58C8">
        <w:rPr>
          <w:rFonts w:ascii="Times New Roman" w:hAnsi="Times New Roman" w:cs="Times New Roman"/>
          <w:sz w:val="24"/>
          <w:szCs w:val="24"/>
        </w:rPr>
        <w:t>(min</w:t>
      </w:r>
      <w:r w:rsidRPr="004D58C8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D58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K</w:t>
      </w:r>
      <w:r w:rsidRPr="004D58C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(g/g min), </w:t>
      </w:r>
      <w:proofErr w:type="spellStart"/>
      <w:proofErr w:type="gramStart"/>
      <w:r w:rsidRPr="000C249A">
        <w:rPr>
          <w:rFonts w:ascii="Times New Roman" w:eastAsia="Calibri" w:hAnsi="Times New Roman" w:cs="Times New Roman"/>
          <w:sz w:val="24"/>
          <w:szCs w:val="24"/>
        </w:rPr>
        <w:t>K</w:t>
      </w:r>
      <w:r w:rsidRPr="000C249A">
        <w:rPr>
          <w:rFonts w:ascii="Times New Roman" w:eastAsia="Calibri" w:hAnsi="Times New Roman" w:cs="Times New Roman"/>
          <w:sz w:val="24"/>
          <w:szCs w:val="24"/>
          <w:vertAlign w:val="subscript"/>
        </w:rPr>
        <w:t>d</w:t>
      </w:r>
      <w:proofErr w:type="spellEnd"/>
      <w:proofErr w:type="gramEnd"/>
      <w:r w:rsidRPr="000C249A">
        <w:rPr>
          <w:rFonts w:ascii="Times New Roman" w:eastAsia="Calibri" w:hAnsi="Times New Roman" w:cs="Times New Roman"/>
          <w:sz w:val="24"/>
          <w:szCs w:val="24"/>
        </w:rPr>
        <w:t xml:space="preserve"> (g/g min</w:t>
      </w:r>
      <w:r w:rsidRPr="000C249A">
        <w:rPr>
          <w:rFonts w:ascii="Times New Roman" w:eastAsia="Calibri" w:hAnsi="Times New Roman" w:cs="Times New Roman"/>
          <w:sz w:val="24"/>
          <w:szCs w:val="24"/>
          <w:vertAlign w:val="superscript"/>
        </w:rPr>
        <w:t>-1/2</w:t>
      </w:r>
      <w:r w:rsidRPr="000C249A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056E">
        <w:rPr>
          <w:rFonts w:ascii="Times New Roman" w:eastAsia="Calibri" w:hAnsi="Times New Roman" w:cs="Times New Roman"/>
          <w:sz w:val="24"/>
          <w:szCs w:val="24"/>
        </w:rPr>
        <w:t>and K</w:t>
      </w:r>
      <w:r w:rsidR="001C056E" w:rsidRPr="001C056E">
        <w:rPr>
          <w:rFonts w:ascii="Times New Roman" w:eastAsia="Calibri" w:hAnsi="Times New Roman" w:cs="Times New Roman"/>
          <w:sz w:val="24"/>
          <w:szCs w:val="24"/>
          <w:vertAlign w:val="subscript"/>
        </w:rPr>
        <w:t>FD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re the rate constants of the pseudo-first order, pseudo-second-order, intraparticle-diffusion and liquid film diffusion </w:t>
      </w:r>
      <w:r>
        <w:rPr>
          <w:rFonts w:ascii="Times New Roman" w:eastAsia="Calibri" w:hAnsi="Times New Roman" w:cs="Times New Roman"/>
          <w:sz w:val="24"/>
          <w:szCs w:val="24"/>
        </w:rPr>
        <w:t>models respectively. The intercept (C) of the ID model depicts the presen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ce of boundary layer diffusion, </w:t>
      </w:r>
      <w:r w:rsidR="001C056E">
        <w:rPr>
          <w:rFonts w:ascii="Times New Roman" w:hAnsi="Times New Roman" w:cs="Times New Roman"/>
          <w:sz w:val="24"/>
          <w:szCs w:val="24"/>
        </w:rPr>
        <w:t>while</w:t>
      </w:r>
      <w:r w:rsidR="001C056E" w:rsidRPr="006A0C44">
        <w:rPr>
          <w:rFonts w:ascii="Times New Roman" w:hAnsi="Times New Roman" w:cs="Times New Roman"/>
          <w:sz w:val="24"/>
          <w:szCs w:val="24"/>
        </w:rPr>
        <w:t xml:space="preserve"> </w:t>
      </w:r>
      <w:r w:rsidR="001C056E" w:rsidRPr="006A0C44">
        <w:rPr>
          <w:rFonts w:ascii="Times New Roman" w:hAnsi="Times New Roman" w:cs="Times New Roman"/>
          <w:i/>
          <w:sz w:val="24"/>
          <w:szCs w:val="24"/>
        </w:rPr>
        <w:t>F</w:t>
      </w:r>
      <w:r w:rsidR="001C056E">
        <w:rPr>
          <w:rFonts w:ascii="Times New Roman" w:hAnsi="Times New Roman" w:cs="Times New Roman"/>
          <w:sz w:val="24"/>
          <w:szCs w:val="24"/>
        </w:rPr>
        <w:t xml:space="preserve"> represents the fractional equilibrium attainment</w:t>
      </w:r>
      <w:r w:rsidR="00A82D91">
        <w:rPr>
          <w:rFonts w:ascii="Times New Roman" w:hAnsi="Times New Roman" w:cs="Times New Roman"/>
          <w:sz w:val="24"/>
          <w:szCs w:val="24"/>
        </w:rPr>
        <w:t xml:space="preserve"> </w:t>
      </w:r>
      <w:r w:rsidR="001C056E">
        <w:rPr>
          <w:rFonts w:ascii="Times New Roman" w:hAnsi="Times New Roman" w:cs="Times New Roman"/>
          <w:sz w:val="24"/>
          <w:szCs w:val="24"/>
        </w:rPr>
        <w:t>of the liquid film diffusion model.</w:t>
      </w:r>
    </w:p>
    <w:p w:rsidR="00C24B3F" w:rsidRDefault="00C24B3F" w:rsidP="00C24B3F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104">
        <w:rPr>
          <w:rFonts w:ascii="Times New Roman" w:eastAsia="Calibri" w:hAnsi="Times New Roman" w:cs="Times New Roman"/>
          <w:b/>
          <w:sz w:val="24"/>
          <w:szCs w:val="24"/>
        </w:rPr>
        <w:t>Sorption thermodynamics</w:t>
      </w:r>
    </w:p>
    <w:p w:rsidR="00C24B3F" w:rsidRDefault="00C24B3F" w:rsidP="00C24B3F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 thermodynamic parameters of BRB </w:t>
      </w:r>
      <w:r>
        <w:rPr>
          <w:rFonts w:ascii="Times New Roman" w:eastAsia="Calibri" w:hAnsi="Times New Roman" w:cs="Times New Roman"/>
          <w:sz w:val="24"/>
          <w:szCs w:val="24"/>
        </w:rPr>
        <w:t>uptake onto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 the synthesized ZnONP </w:t>
      </w:r>
      <w:r>
        <w:rPr>
          <w:rFonts w:ascii="Times New Roman" w:eastAsia="Calibri" w:hAnsi="Times New Roman" w:cs="Times New Roman"/>
          <w:sz w:val="24"/>
          <w:szCs w:val="24"/>
        </w:rPr>
        <w:t xml:space="preserve">were determined to evaluate the spontaneity, disorderliness, and nature of </w:t>
      </w:r>
      <w:r w:rsidR="001C056E">
        <w:rPr>
          <w:rFonts w:ascii="Times New Roman" w:eastAsia="Calibri" w:hAnsi="Times New Roman" w:cs="Times New Roman"/>
          <w:sz w:val="24"/>
          <w:szCs w:val="24"/>
        </w:rPr>
        <w:t>ad</w:t>
      </w:r>
      <w:r>
        <w:rPr>
          <w:rFonts w:ascii="Times New Roman" w:eastAsia="Calibri" w:hAnsi="Times New Roman" w:cs="Times New Roman"/>
          <w:sz w:val="24"/>
          <w:szCs w:val="24"/>
        </w:rPr>
        <w:t xml:space="preserve">sorption by the application of the following equations </w:t>
      </w:r>
      <w:r>
        <w:rPr>
          <w:rFonts w:ascii="Times New Roman" w:eastAsia="Calibri" w:hAnsi="Times New Roman" w:cs="Times New Roman"/>
          <w:sz w:val="24"/>
          <w:szCs w:val="24"/>
        </w:rPr>
        <w:fldChar w:fldCharType="begin" w:fldLock="1"/>
      </w:r>
      <w:r>
        <w:rPr>
          <w:rFonts w:ascii="Times New Roman" w:eastAsia="Calibri" w:hAnsi="Times New Roman" w:cs="Times New Roman"/>
          <w:sz w:val="24"/>
          <w:szCs w:val="24"/>
        </w:rPr>
        <w:instrText>ADDIN CSL_CITATION {"citationItems":[{"id":"ITEM-1","itemData":{"DOI":"10.1016/j.jafrearsci.2019.04.013","ISSN":"1464343X","author":[{"dropping-particle":"","family":"Akpomie","given":"Kovo G.","non-dropping-particle":"","parse-names":false,"suffix":""},{"dropping-particle":"","family":"Onyeabor","given":"Chinenye F.","non-dropping-particle":"","parse-names":false,"suffix":""},{"dropping-particle":"","family":"Ezeofor","given":"Chidinma C.","non-dropping-particle":"","parse-names":false,"suffix":""},{"dropping-particle":"","family":"Ani","given":"Julius U.","non-dropping-particle":"","parse-names":false,"suffix":""},{"dropping-particle":"","family":"Eze","given":"Samson I.","non-dropping-particle":"","parse-names":false,"suffix":""}],"container-title":"Journal of African Earth Sciences","id":"ITEM-1","issued":{"date-parts":[["2019","7"]]},"page":"118-123","title":"Natural aluminosilicate clay obtained from south-eastern Nigeria as potential sorbent for oil spill remediation","type":"article-journal","volume":"155"},"uris":["http://www.mendeley.com/documents/?uuid=8bceda18-5b08-4648-8ac9-db8dbb1094be"]}],"mendeley":{"formattedCitation":"&lt;sup&gt;3&lt;/sup&gt;","plainTextFormattedCitation":"3","previouslyFormattedCitation":"(Akpomie et al., 2019)"},"properties":{"noteIndex":0},"schema":"https://github.com/citation-style-language/schema/raw/master/csl-citation.json"}</w:instrText>
      </w:r>
      <w:r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C24B3F">
        <w:rPr>
          <w:rFonts w:ascii="Times New Roman" w:eastAsia="Calibri" w:hAnsi="Times New Roman" w:cs="Times New Roman"/>
          <w:noProof/>
          <w:sz w:val="24"/>
          <w:szCs w:val="24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:rsidR="00C24B3F" w:rsidRPr="00805292" w:rsidRDefault="00C24B3F" w:rsidP="00C24B3F">
      <w:pPr>
        <w:spacing w:line="48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∆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= -RT </m:t>
          </m:r>
          <m:func>
            <m:func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c</m:t>
                  </m:r>
                </m:sub>
              </m:sSub>
            </m:e>
          </m:func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                                                                                                   (9)</m:t>
          </m:r>
        </m:oMath>
      </m:oMathPara>
    </w:p>
    <w:p w:rsidR="00C24B3F" w:rsidRPr="00805292" w:rsidRDefault="00FD68A3" w:rsidP="00C24B3F">
      <w:pPr>
        <w:spacing w:line="48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=-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∆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0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RT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∆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R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                                                                                      (10)</m:t>
          </m:r>
        </m:oMath>
      </m:oMathPara>
    </w:p>
    <w:p w:rsidR="00C24B3F" w:rsidRDefault="00C24B3F" w:rsidP="00C24B3F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292">
        <w:rPr>
          <w:rFonts w:ascii="Times New Roman" w:eastAsia="Calibri" w:hAnsi="Times New Roman" w:cs="Times New Roman"/>
          <w:sz w:val="24"/>
          <w:szCs w:val="24"/>
        </w:rPr>
        <w:t>Where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5292">
        <w:rPr>
          <w:rFonts w:ascii="Times New Roman" w:eastAsia="Calibri" w:hAnsi="Times New Roman" w:cs="Times New Roman"/>
          <w:sz w:val="24"/>
          <w:szCs w:val="24"/>
        </w:rPr>
        <w:t>∆H</w:t>
      </w:r>
      <w:r w:rsidRPr="00805292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805292">
        <w:rPr>
          <w:rFonts w:ascii="Times New Roman" w:eastAsia="Calibri" w:hAnsi="Times New Roman" w:cs="Times New Roman"/>
          <w:sz w:val="24"/>
          <w:szCs w:val="24"/>
        </w:rPr>
        <w:t xml:space="preserve"> ∆G</w:t>
      </w:r>
      <w:r w:rsidRPr="00805292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 w:rsidRPr="0080529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805292">
        <w:rPr>
          <w:rFonts w:ascii="Times New Roman" w:eastAsia="Calibri" w:hAnsi="Times New Roman" w:cs="Times New Roman"/>
          <w:sz w:val="24"/>
          <w:szCs w:val="24"/>
        </w:rPr>
        <w:t>∆S</w:t>
      </w:r>
      <w:r w:rsidRPr="00805292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depicts the enthalpy, free energy, and entropy changes, respectively, K</w:t>
      </w:r>
      <w:r w:rsidRPr="00A3574E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c </w:t>
      </w:r>
      <w:r>
        <w:rPr>
          <w:rFonts w:ascii="Times New Roman" w:eastAsia="Calibri" w:hAnsi="Times New Roman" w:cs="Times New Roman"/>
          <w:sz w:val="24"/>
          <w:szCs w:val="24"/>
        </w:rPr>
        <w:t>is the sorption equilibrium constant, T (K) is the absolute temperature and R</w:t>
      </w:r>
      <w:r w:rsidRPr="00805292">
        <w:rPr>
          <w:rFonts w:ascii="Times New Roman" w:eastAsia="Calibri" w:hAnsi="Times New Roman" w:cs="Times New Roman"/>
          <w:sz w:val="24"/>
          <w:szCs w:val="24"/>
        </w:rPr>
        <w:t xml:space="preserve"> (8.314 J/mol K)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is the universal </w:t>
      </w:r>
      <w:r w:rsidR="001C056E">
        <w:rPr>
          <w:rFonts w:ascii="Times New Roman" w:eastAsia="Calibri" w:hAnsi="Times New Roman" w:cs="Times New Roman"/>
          <w:sz w:val="24"/>
          <w:szCs w:val="24"/>
        </w:rPr>
        <w:t xml:space="preserve">gas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constant. </w:t>
      </w:r>
    </w:p>
    <w:p w:rsidR="00C24B3F" w:rsidRPr="00C24B3F" w:rsidRDefault="00C24B3F" w:rsidP="00C24B3F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4B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References</w:t>
      </w:r>
    </w:p>
    <w:p w:rsidR="00C24B3F" w:rsidRPr="00C24B3F" w:rsidRDefault="00C24B3F" w:rsidP="00C24B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C24B3F">
        <w:rPr>
          <w:rFonts w:ascii="Times New Roman" w:hAnsi="Times New Roman" w:cs="Times New Roman"/>
          <w:noProof/>
          <w:sz w:val="24"/>
          <w:szCs w:val="24"/>
        </w:rPr>
        <w:t>1.</w:t>
      </w:r>
      <w:r w:rsidRPr="00C24B3F">
        <w:rPr>
          <w:rFonts w:ascii="Times New Roman" w:hAnsi="Times New Roman" w:cs="Times New Roman"/>
          <w:noProof/>
          <w:sz w:val="24"/>
          <w:szCs w:val="24"/>
        </w:rPr>
        <w:tab/>
        <w:t xml:space="preserve">Diraki, A., Mackey, H., McKay, G. &amp; Abdala, A. A. Removal of oil from oil–water emulsions using thermally reduced graphene and graphene nanoplatelets. </w:t>
      </w:r>
      <w:r w:rsidRPr="00C24B3F">
        <w:rPr>
          <w:rFonts w:ascii="Times New Roman" w:hAnsi="Times New Roman" w:cs="Times New Roman"/>
          <w:i/>
          <w:iCs/>
          <w:noProof/>
          <w:sz w:val="24"/>
          <w:szCs w:val="24"/>
        </w:rPr>
        <w:t>Chem. Eng. Res. Des.</w:t>
      </w:r>
      <w:r w:rsidRPr="00C24B3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24B3F">
        <w:rPr>
          <w:rFonts w:ascii="Times New Roman" w:hAnsi="Times New Roman" w:cs="Times New Roman"/>
          <w:b/>
          <w:bCs/>
          <w:noProof/>
          <w:sz w:val="24"/>
          <w:szCs w:val="24"/>
        </w:rPr>
        <w:t>137</w:t>
      </w:r>
      <w:r w:rsidRPr="00C24B3F">
        <w:rPr>
          <w:rFonts w:ascii="Times New Roman" w:hAnsi="Times New Roman" w:cs="Times New Roman"/>
          <w:noProof/>
          <w:sz w:val="24"/>
          <w:szCs w:val="24"/>
        </w:rPr>
        <w:t>, 47–59 (2018).</w:t>
      </w:r>
    </w:p>
    <w:p w:rsidR="00C24B3F" w:rsidRPr="00C24B3F" w:rsidRDefault="00C24B3F" w:rsidP="00C24B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C24B3F">
        <w:rPr>
          <w:rFonts w:ascii="Times New Roman" w:hAnsi="Times New Roman" w:cs="Times New Roman"/>
          <w:noProof/>
          <w:sz w:val="24"/>
          <w:szCs w:val="24"/>
        </w:rPr>
        <w:t>2.</w:t>
      </w:r>
      <w:r w:rsidRPr="00C24B3F">
        <w:rPr>
          <w:rFonts w:ascii="Times New Roman" w:hAnsi="Times New Roman" w:cs="Times New Roman"/>
          <w:noProof/>
          <w:sz w:val="24"/>
          <w:szCs w:val="24"/>
        </w:rPr>
        <w:tab/>
        <w:t xml:space="preserve">Ezekoye, O. M. </w:t>
      </w:r>
      <w:r w:rsidRPr="00C24B3F">
        <w:rPr>
          <w:rFonts w:ascii="Times New Roman" w:hAnsi="Times New Roman" w:cs="Times New Roman"/>
          <w:i/>
          <w:iCs/>
          <w:noProof/>
          <w:sz w:val="24"/>
          <w:szCs w:val="24"/>
        </w:rPr>
        <w:t>et al.</w:t>
      </w:r>
      <w:r w:rsidRPr="00C24B3F">
        <w:rPr>
          <w:rFonts w:ascii="Times New Roman" w:hAnsi="Times New Roman" w:cs="Times New Roman"/>
          <w:noProof/>
          <w:sz w:val="24"/>
          <w:szCs w:val="24"/>
        </w:rPr>
        <w:t xml:space="preserve"> Biosorptive interaction of alkaline modified Dialium guineense seed powders with ciprofloxacin in contaminated solution: central composite, kinetics, isotherm, thermodynamics, and desorption. </w:t>
      </w:r>
      <w:r w:rsidRPr="00C24B3F">
        <w:rPr>
          <w:rFonts w:ascii="Times New Roman" w:hAnsi="Times New Roman" w:cs="Times New Roman"/>
          <w:i/>
          <w:iCs/>
          <w:noProof/>
          <w:sz w:val="24"/>
          <w:szCs w:val="24"/>
        </w:rPr>
        <w:t>Int. J. Phytoremediation</w:t>
      </w:r>
      <w:r w:rsidRPr="00C24B3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24B3F">
        <w:rPr>
          <w:rFonts w:ascii="Times New Roman" w:hAnsi="Times New Roman" w:cs="Times New Roman"/>
          <w:b/>
          <w:bCs/>
          <w:noProof/>
          <w:sz w:val="24"/>
          <w:szCs w:val="24"/>
        </w:rPr>
        <w:t>22</w:t>
      </w:r>
      <w:r w:rsidRPr="00C24B3F">
        <w:rPr>
          <w:rFonts w:ascii="Times New Roman" w:hAnsi="Times New Roman" w:cs="Times New Roman"/>
          <w:noProof/>
          <w:sz w:val="24"/>
          <w:szCs w:val="24"/>
        </w:rPr>
        <w:t>, 1028–1037 (2020).</w:t>
      </w:r>
    </w:p>
    <w:p w:rsidR="00C24B3F" w:rsidRPr="00C24B3F" w:rsidRDefault="00C24B3F" w:rsidP="00C24B3F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</w:rPr>
      </w:pPr>
      <w:r w:rsidRPr="00C24B3F">
        <w:rPr>
          <w:rFonts w:ascii="Times New Roman" w:hAnsi="Times New Roman" w:cs="Times New Roman"/>
          <w:noProof/>
          <w:sz w:val="24"/>
          <w:szCs w:val="24"/>
        </w:rPr>
        <w:t>3.</w:t>
      </w:r>
      <w:r w:rsidRPr="00C24B3F">
        <w:rPr>
          <w:rFonts w:ascii="Times New Roman" w:hAnsi="Times New Roman" w:cs="Times New Roman"/>
          <w:noProof/>
          <w:sz w:val="24"/>
          <w:szCs w:val="24"/>
        </w:rPr>
        <w:tab/>
        <w:t xml:space="preserve">Akpomie, K. G., Onyeabor, C. F., Ezeofor, C. C., Ani, J. U. &amp; Eze, S. I. Natural aluminosilicate clay obtained from south-eastern Nigeria as potential sorbent for oil spill remediation. </w:t>
      </w:r>
      <w:r w:rsidRPr="00C24B3F">
        <w:rPr>
          <w:rFonts w:ascii="Times New Roman" w:hAnsi="Times New Roman" w:cs="Times New Roman"/>
          <w:i/>
          <w:iCs/>
          <w:noProof/>
          <w:sz w:val="24"/>
          <w:szCs w:val="24"/>
        </w:rPr>
        <w:t>J. African Earth Sci.</w:t>
      </w:r>
      <w:r w:rsidRPr="00C24B3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24B3F">
        <w:rPr>
          <w:rFonts w:ascii="Times New Roman" w:hAnsi="Times New Roman" w:cs="Times New Roman"/>
          <w:b/>
          <w:bCs/>
          <w:noProof/>
          <w:sz w:val="24"/>
          <w:szCs w:val="24"/>
        </w:rPr>
        <w:t>155</w:t>
      </w:r>
      <w:r w:rsidRPr="00C24B3F">
        <w:rPr>
          <w:rFonts w:ascii="Times New Roman" w:hAnsi="Times New Roman" w:cs="Times New Roman"/>
          <w:noProof/>
          <w:sz w:val="24"/>
          <w:szCs w:val="24"/>
        </w:rPr>
        <w:t>, 118–123 (2019).</w:t>
      </w:r>
    </w:p>
    <w:p w:rsidR="00C24B3F" w:rsidRPr="00C24B3F" w:rsidRDefault="00C24B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C24B3F" w:rsidRPr="00C24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Time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3F"/>
    <w:rsid w:val="001C056E"/>
    <w:rsid w:val="009B5BEE"/>
    <w:rsid w:val="00A82D91"/>
    <w:rsid w:val="00C24B3F"/>
    <w:rsid w:val="00D56BE5"/>
    <w:rsid w:val="00FD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06202"/>
  <w15:chartTrackingRefBased/>
  <w15:docId w15:val="{07725272-24A1-46DC-90FB-D1695D6B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4B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vo.akpomie@unn.edu.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8223B-5042-4252-B73E-A266E909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Free State</Company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Kovo Akpomie</dc:creator>
  <cp:keywords/>
  <dc:description/>
  <cp:lastModifiedBy>Kovo Akpomie</cp:lastModifiedBy>
  <cp:revision>4</cp:revision>
  <dcterms:created xsi:type="dcterms:W3CDTF">2020-10-28T11:24:00Z</dcterms:created>
  <dcterms:modified xsi:type="dcterms:W3CDTF">2020-11-25T21:53:00Z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http://www.zotero.org/styles/arabian-journal-of-chemistry</vt:lpwstr>
  </property>
  <property fmtid="{D5CDD505-2E9C-101B-9397-08002B2CF9AE}" pid="3" name="Mendeley Recent Style Name 0_1">
    <vt:lpwstr>Arabian Journal of Chemistry</vt:lpwstr>
  </property>
  <property fmtid="{D5CDD505-2E9C-101B-9397-08002B2CF9AE}" pid="4" name="Mendeley Recent Style Id 1_1">
    <vt:lpwstr>http://www.zotero.org/styles/chemical-engineering-research-and-design</vt:lpwstr>
  </property>
  <property fmtid="{D5CDD505-2E9C-101B-9397-08002B2CF9AE}" pid="5" name="Mendeley Recent Style Name 1_1">
    <vt:lpwstr>Chemical Engineering Research and Design</vt:lpwstr>
  </property>
  <property fmtid="{D5CDD505-2E9C-101B-9397-08002B2CF9AE}" pid="6" name="Mendeley Recent Style Id 2_1">
    <vt:lpwstr>http://www.zotero.org/styles/ecotoxicology-and-environmental-safety</vt:lpwstr>
  </property>
  <property fmtid="{D5CDD505-2E9C-101B-9397-08002B2CF9AE}" pid="7" name="Mendeley Recent Style Name 2_1">
    <vt:lpwstr>Ecotoxicology and Environmental Safety</vt:lpwstr>
  </property>
  <property fmtid="{D5CDD505-2E9C-101B-9397-08002B2CF9AE}" pid="8" name="Mendeley Recent Style Id 3_1">
    <vt:lpwstr>http://www.zotero.org/styles/environmental-science-and-pollution-research</vt:lpwstr>
  </property>
  <property fmtid="{D5CDD505-2E9C-101B-9397-08002B2CF9AE}" pid="9" name="Mendeley Recent Style Name 3_1">
    <vt:lpwstr>Environmental Science and Pollution Research</vt:lpwstr>
  </property>
  <property fmtid="{D5CDD505-2E9C-101B-9397-08002B2CF9AE}" pid="10" name="Mendeley Recent Style Id 4_1">
    <vt:lpwstr>http://www.zotero.org/styles/journal-of-petroleum-exploration-and-production-technology</vt:lpwstr>
  </property>
  <property fmtid="{D5CDD505-2E9C-101B-9397-08002B2CF9AE}" pid="11" name="Mendeley Recent Style Name 4_1">
    <vt:lpwstr>Journal of Petroleum Exploration and Production Technology</vt:lpwstr>
  </property>
  <property fmtid="{D5CDD505-2E9C-101B-9397-08002B2CF9AE}" pid="12" name="Mendeley Recent Style Id 5_1">
    <vt:lpwstr>http://www.zotero.org/styles/journal-of-polymers-and-the-environment</vt:lpwstr>
  </property>
  <property fmtid="{D5CDD505-2E9C-101B-9397-08002B2CF9AE}" pid="13" name="Mendeley Recent Style Name 5_1">
    <vt:lpwstr>Journal of Polymers and the Environment</vt:lpwstr>
  </property>
  <property fmtid="{D5CDD505-2E9C-101B-9397-08002B2CF9AE}" pid="14" name="Mendeley Recent Style Id 6_1">
    <vt:lpwstr>http://www.zotero.org/styles/materials-research-bulletin</vt:lpwstr>
  </property>
  <property fmtid="{D5CDD505-2E9C-101B-9397-08002B2CF9AE}" pid="15" name="Mendeley Recent Style Name 6_1">
    <vt:lpwstr>Materials Research Bulletin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54b536c9-22b3-3990-b3ad-23741594bbdb</vt:lpwstr>
  </property>
  <property fmtid="{D5CDD505-2E9C-101B-9397-08002B2CF9AE}" pid="24" name="Mendeley Citation Style_1">
    <vt:lpwstr>http://www.zotero.org/styles/scientific-reports</vt:lpwstr>
  </property>
</Properties>
</file>