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lca-ms-data-inventory-v0.1"/>
    <w:p>
      <w:pPr>
        <w:pStyle w:val="Heading1"/>
      </w:pPr>
      <w:r>
        <w:t xml:space="preserve">LCA-MS Data Inventory V0.1</w:t>
      </w:r>
    </w:p>
    <w:p>
      <w:pPr>
        <w:pStyle w:val="FirstParagraph"/>
      </w:pPr>
      <w:r>
        <w:t xml:space="preserve">The seven-state model is calibratable with the data assembled here. Calibration uses SEER age-specific incidence, stage distribution, and stage-specific survival; priors use L1-L6 readout effect sizes; validation uses NLST, NELSON, and UK cessation targets. The remaining gap is longitudinal readouts in one cohort. We substitute cross-sectional effect sizes and state priors, and we carry that substitution into the sensitivity analysis.</w:t>
      </w:r>
    </w:p>
    <w:bookmarkStart w:id="9" w:name="data-layers-and-roles"/>
    <w:p>
      <w:pPr>
        <w:pStyle w:val="Heading2"/>
      </w:pPr>
      <w:r>
        <w:t xml:space="preserve">1. Data layers and roles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Layer</w:t>
            </w:r>
          </w:p>
        </w:tc>
        <w:tc>
          <w:tcPr/>
          <w:p>
            <w:pPr>
              <w:pStyle w:val="Compact"/>
            </w:pPr>
            <w:r>
              <w:t xml:space="preserve">Data</w:t>
            </w:r>
          </w:p>
        </w:tc>
        <w:tc>
          <w:tcPr/>
          <w:p>
            <w:pPr>
              <w:pStyle w:val="Compact"/>
            </w:pPr>
            <w:r>
              <w:t xml:space="preserve">Role</w:t>
            </w:r>
          </w:p>
        </w:tc>
        <w:tc>
          <w:tcPr/>
          <w:p>
            <w:pPr>
              <w:pStyle w:val="Compact"/>
            </w:pPr>
            <w:r>
              <w:t xml:space="preserve">Status</w:t>
            </w:r>
          </w:p>
        </w:tc>
      </w:tr>
      <w:tr>
        <w:tc>
          <w:tcPr/>
          <w:p>
            <w:pPr>
              <w:pStyle w:val="Compact"/>
            </w:pPr>
            <w:r>
              <w:t xml:space="preserve">Calibration</w:t>
            </w:r>
          </w:p>
        </w:tc>
        <w:tc>
          <w:tcPr/>
          <w:p>
            <w:pPr>
              <w:pStyle w:val="Compact"/>
            </w:pPr>
            <w:r>
              <w:t xml:space="preserve">SEER age-specific incidence, stage distribution, stage-specific survival</w:t>
            </w:r>
          </w:p>
        </w:tc>
        <w:tc>
          <w:tcPr/>
          <w:p>
            <w:pPr>
              <w:pStyle w:val="Compact"/>
            </w:pPr>
            <w:r>
              <w:t xml:space="preserve">Fit transition intensities and L7 mortality</w:t>
            </w:r>
          </w:p>
        </w:tc>
        <w:tc>
          <w:tcPr/>
          <w:p>
            <w:pPr>
              <w:pStyle w:val="Compact"/>
            </w:pPr>
            <w:r>
              <w:t xml:space="preserve">Obtained</w:t>
            </w:r>
          </w:p>
        </w:tc>
      </w:tr>
      <w:tr>
        <w:tc>
          <w:tcPr/>
          <w:p>
            <w:pPr>
              <w:pStyle w:val="Compact"/>
            </w:pPr>
            <w:r>
              <w:t xml:space="preserve">Prior</w:t>
            </w:r>
          </w:p>
        </w:tc>
        <w:tc>
          <w:tcPr/>
          <w:p>
            <w:pPr>
              <w:pStyle w:val="Compact"/>
            </w:pPr>
            <w:r>
              <w:t xml:space="preserve">L1-L6 readout effect sizes, precursor-lesion progression rates</w:t>
            </w:r>
          </w:p>
        </w:tc>
        <w:tc>
          <w:tcPr/>
          <w:p>
            <w:pPr>
              <w:pStyle w:val="Compact"/>
            </w:pPr>
            <w:r>
              <w:t xml:space="preserve">Constrain state ordering and transition priors</w:t>
            </w:r>
          </w:p>
        </w:tc>
        <w:tc>
          <w:tcPr/>
          <w:p>
            <w:pPr>
              <w:pStyle w:val="Compact"/>
            </w:pPr>
            <w:r>
              <w:t xml:space="preserve">Obtained</w:t>
            </w:r>
          </w:p>
        </w:tc>
      </w:tr>
      <w:tr>
        <w:tc>
          <w:tcPr/>
          <w:p>
            <w:pPr>
              <w:pStyle w:val="Compact"/>
            </w:pPr>
            <w:r>
              <w:t xml:space="preserve">Validation</w:t>
            </w:r>
          </w:p>
        </w:tc>
        <w:tc>
          <w:tcPr/>
          <w:p>
            <w:pPr>
              <w:pStyle w:val="Compact"/>
            </w:pPr>
            <w:r>
              <w:t xml:space="preserve">NLST, NELSON, UK cessation cumulative risk</w:t>
            </w:r>
          </w:p>
        </w:tc>
        <w:tc>
          <w:tcPr/>
          <w:p>
            <w:pPr>
              <w:pStyle w:val="Compact"/>
            </w:pPr>
            <w:r>
              <w:t xml:space="preserve">Hold-out validation of intervention projections</w:t>
            </w:r>
          </w:p>
        </w:tc>
        <w:tc>
          <w:tcPr/>
          <w:p>
            <w:pPr>
              <w:pStyle w:val="Compact"/>
            </w:pPr>
            <w:r>
              <w:t xml:space="preserve">Obtained</w:t>
            </w:r>
          </w:p>
        </w:tc>
      </w:tr>
      <w:tr>
        <w:tc>
          <w:tcPr/>
          <w:p>
            <w:pPr>
              <w:pStyle w:val="Compact"/>
            </w:pPr>
            <w:r>
              <w:t xml:space="preserve">Readout</w:t>
            </w:r>
          </w:p>
        </w:tc>
        <w:tc>
          <w:tcPr/>
          <w:p>
            <w:pPr>
              <w:pStyle w:val="Compact"/>
            </w:pPr>
            <w:r>
              <w:t xml:space="preserve">Albumin, Treg, MDSC, IL-6, GDF15, MCC, MUC5AC, LDH, LOXL2, 8-OHdG, driver mutations</w:t>
            </w:r>
          </w:p>
        </w:tc>
        <w:tc>
          <w:tcPr/>
          <w:p>
            <w:pPr>
              <w:pStyle w:val="Compact"/>
            </w:pPr>
            <w:r>
              <w:t xml:space="preserve">Measurement model and state discrimination</w:t>
            </w:r>
          </w:p>
        </w:tc>
        <w:tc>
          <w:tcPr/>
          <w:p>
            <w:pPr>
              <w:pStyle w:val="Compact"/>
            </w:pPr>
            <w:r>
              <w:t xml:space="preserve">Obtained</w:t>
            </w:r>
          </w:p>
        </w:tc>
      </w:tr>
      <w:tr>
        <w:tc>
          <w:tcPr/>
          <w:p>
            <w:pPr>
              <w:pStyle w:val="Compact"/>
            </w:pPr>
            <w:r>
              <w:t xml:space="preserve">Gap</w:t>
            </w:r>
          </w:p>
        </w:tc>
        <w:tc>
          <w:tcPr/>
          <w:p>
            <w:pPr>
              <w:pStyle w:val="Compact"/>
            </w:pPr>
            <w:r>
              <w:t xml:space="preserve">Longitudinal L1-L6 readouts in one population</w:t>
            </w:r>
          </w:p>
        </w:tc>
        <w:tc>
          <w:tcPr/>
          <w:p>
            <w:pPr>
              <w:pStyle w:val="Compact"/>
            </w:pPr>
            <w:r>
              <w:t xml:space="preserve">Individual trajectory validation</w:t>
            </w:r>
          </w:p>
        </w:tc>
        <w:tc>
          <w:tcPr/>
          <w:p>
            <w:pPr>
              <w:pStyle w:val="Compact"/>
            </w:pPr>
            <w:r>
              <w:t xml:space="preserve">Not obtained</w:t>
            </w:r>
          </w:p>
        </w:tc>
      </w:tr>
    </w:tbl>
    <w:bookmarkEnd w:id="9"/>
    <w:bookmarkStart w:id="14" w:name="calibration-targets"/>
    <w:p>
      <w:pPr>
        <w:pStyle w:val="Heading2"/>
      </w:pPr>
      <w:r>
        <w:t xml:space="preserve">2. Calibration targets</w:t>
      </w:r>
    </w:p>
    <w:bookmarkStart w:id="10" w:name="seer-age-specific-incidence"/>
    <w:p>
      <w:pPr>
        <w:pStyle w:val="Heading3"/>
      </w:pPr>
      <w:r>
        <w:t xml:space="preserve">2.1 SEER age-specific incidence</w:t>
      </w:r>
    </w:p>
    <w:p>
      <w:pPr>
        <w:pStyle w:val="FirstParagraph"/>
      </w:pPr>
      <w:r>
        <w:t xml:space="preserve">Data are for 2012-2016, all races, both sexes combined, per 100,000 person-years. Source: SEER Cancer Statistics Review 1975-2016, Table 15.10 [2].</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Age group</w:t>
            </w:r>
          </w:p>
        </w:tc>
        <w:tc>
          <w:tcPr/>
          <w:p>
            <w:pPr>
              <w:pStyle w:val="Compact"/>
              <w:jc w:val="right"/>
            </w:pPr>
            <w:r>
              <w:t xml:space="preserve">Incidence</w:t>
            </w:r>
          </w:p>
        </w:tc>
        <w:tc>
          <w:tcPr/>
          <w:p>
            <w:pPr>
              <w:pStyle w:val="Compact"/>
            </w:pPr>
            <w:r>
              <w:t xml:space="preserve">Age group</w:t>
            </w:r>
          </w:p>
        </w:tc>
        <w:tc>
          <w:tcPr/>
          <w:p>
            <w:pPr>
              <w:pStyle w:val="Compact"/>
              <w:jc w:val="right"/>
            </w:pPr>
            <w:r>
              <w:t xml:space="preserve">Incidence</w:t>
            </w:r>
          </w:p>
        </w:tc>
      </w:tr>
      <w:tr>
        <w:tc>
          <w:tcPr/>
          <w:p>
            <w:pPr>
              <w:pStyle w:val="Compact"/>
            </w:pPr>
            <w:r>
              <w:t xml:space="preserve">20-24</w:t>
            </w:r>
          </w:p>
        </w:tc>
        <w:tc>
          <w:tcPr/>
          <w:p>
            <w:pPr>
              <w:pStyle w:val="Compact"/>
              <w:jc w:val="right"/>
            </w:pPr>
            <w:r>
              <w:t xml:space="preserve">0.3</w:t>
            </w:r>
          </w:p>
        </w:tc>
        <w:tc>
          <w:tcPr/>
          <w:p>
            <w:pPr>
              <w:pStyle w:val="Compact"/>
            </w:pPr>
            <w:r>
              <w:t xml:space="preserve">55-59</w:t>
            </w:r>
          </w:p>
        </w:tc>
        <w:tc>
          <w:tcPr/>
          <w:p>
            <w:pPr>
              <w:pStyle w:val="Compact"/>
              <w:jc w:val="right"/>
            </w:pPr>
            <w:r>
              <w:t xml:space="preserve">85.0</w:t>
            </w:r>
          </w:p>
        </w:tc>
      </w:tr>
      <w:tr>
        <w:tc>
          <w:tcPr/>
          <w:p>
            <w:pPr>
              <w:pStyle w:val="Compact"/>
            </w:pPr>
            <w:r>
              <w:t xml:space="preserve">25-29</w:t>
            </w:r>
          </w:p>
        </w:tc>
        <w:tc>
          <w:tcPr/>
          <w:p>
            <w:pPr>
              <w:pStyle w:val="Compact"/>
              <w:jc w:val="right"/>
            </w:pPr>
            <w:r>
              <w:t xml:space="preserve">0.6</w:t>
            </w:r>
          </w:p>
        </w:tc>
        <w:tc>
          <w:tcPr/>
          <w:p>
            <w:pPr>
              <w:pStyle w:val="Compact"/>
            </w:pPr>
            <w:r>
              <w:t xml:space="preserve">60-64</w:t>
            </w:r>
          </w:p>
        </w:tc>
        <w:tc>
          <w:tcPr/>
          <w:p>
            <w:pPr>
              <w:pStyle w:val="Compact"/>
              <w:jc w:val="right"/>
            </w:pPr>
            <w:r>
              <w:t xml:space="preserve">134.9</w:t>
            </w:r>
          </w:p>
        </w:tc>
      </w:tr>
      <w:tr>
        <w:tc>
          <w:tcPr/>
          <w:p>
            <w:pPr>
              <w:pStyle w:val="Compact"/>
            </w:pPr>
            <w:r>
              <w:t xml:space="preserve">30-34</w:t>
            </w:r>
          </w:p>
        </w:tc>
        <w:tc>
          <w:tcPr/>
          <w:p>
            <w:pPr>
              <w:pStyle w:val="Compact"/>
              <w:jc w:val="right"/>
            </w:pPr>
            <w:r>
              <w:t xml:space="preserve">1.2</w:t>
            </w:r>
          </w:p>
        </w:tc>
        <w:tc>
          <w:tcPr/>
          <w:p>
            <w:pPr>
              <w:pStyle w:val="Compact"/>
            </w:pPr>
            <w:r>
              <w:t xml:space="preserve">65-69</w:t>
            </w:r>
          </w:p>
        </w:tc>
        <w:tc>
          <w:tcPr/>
          <w:p>
            <w:pPr>
              <w:pStyle w:val="Compact"/>
              <w:jc w:val="right"/>
            </w:pPr>
            <w:r>
              <w:t xml:space="preserve">220.1</w:t>
            </w:r>
          </w:p>
        </w:tc>
      </w:tr>
      <w:tr>
        <w:tc>
          <w:tcPr/>
          <w:p>
            <w:pPr>
              <w:pStyle w:val="Compact"/>
            </w:pPr>
            <w:r>
              <w:t xml:space="preserve">35-39</w:t>
            </w:r>
          </w:p>
        </w:tc>
        <w:tc>
          <w:tcPr/>
          <w:p>
            <w:pPr>
              <w:pStyle w:val="Compact"/>
              <w:jc w:val="right"/>
            </w:pPr>
            <w:r>
              <w:t xml:space="preserve">2.7</w:t>
            </w:r>
          </w:p>
        </w:tc>
        <w:tc>
          <w:tcPr/>
          <w:p>
            <w:pPr>
              <w:pStyle w:val="Compact"/>
            </w:pPr>
            <w:r>
              <w:t xml:space="preserve">70-74</w:t>
            </w:r>
          </w:p>
        </w:tc>
        <w:tc>
          <w:tcPr/>
          <w:p>
            <w:pPr>
              <w:pStyle w:val="Compact"/>
              <w:jc w:val="right"/>
            </w:pPr>
            <w:r>
              <w:t xml:space="preserve">323.6</w:t>
            </w:r>
          </w:p>
        </w:tc>
      </w:tr>
      <w:tr>
        <w:tc>
          <w:tcPr/>
          <w:p>
            <w:pPr>
              <w:pStyle w:val="Compact"/>
            </w:pPr>
            <w:r>
              <w:t xml:space="preserve">40-44</w:t>
            </w:r>
          </w:p>
        </w:tc>
        <w:tc>
          <w:tcPr/>
          <w:p>
            <w:pPr>
              <w:pStyle w:val="Compact"/>
              <w:jc w:val="right"/>
            </w:pPr>
            <w:r>
              <w:t xml:space="preserve">6.6</w:t>
            </w:r>
          </w:p>
        </w:tc>
        <w:tc>
          <w:tcPr/>
          <w:p>
            <w:pPr>
              <w:pStyle w:val="Compact"/>
            </w:pPr>
            <w:r>
              <w:t xml:space="preserve">75-79</w:t>
            </w:r>
          </w:p>
        </w:tc>
        <w:tc>
          <w:tcPr/>
          <w:p>
            <w:pPr>
              <w:pStyle w:val="Compact"/>
              <w:jc w:val="right"/>
            </w:pPr>
            <w:r>
              <w:t xml:space="preserve">395.1</w:t>
            </w:r>
          </w:p>
        </w:tc>
      </w:tr>
      <w:tr>
        <w:tc>
          <w:tcPr/>
          <w:p>
            <w:pPr>
              <w:pStyle w:val="Compact"/>
            </w:pPr>
            <w:r>
              <w:t xml:space="preserve">45-49</w:t>
            </w:r>
          </w:p>
        </w:tc>
        <w:tc>
          <w:tcPr/>
          <w:p>
            <w:pPr>
              <w:pStyle w:val="Compact"/>
              <w:jc w:val="right"/>
            </w:pPr>
            <w:r>
              <w:t xml:space="preserve">17.8</w:t>
            </w:r>
          </w:p>
        </w:tc>
        <w:tc>
          <w:tcPr/>
          <w:p>
            <w:pPr>
              <w:pStyle w:val="Compact"/>
            </w:pPr>
            <w:r>
              <w:t xml:space="preserve">80-84</w:t>
            </w:r>
          </w:p>
        </w:tc>
        <w:tc>
          <w:tcPr/>
          <w:p>
            <w:pPr>
              <w:pStyle w:val="Compact"/>
              <w:jc w:val="right"/>
            </w:pPr>
            <w:r>
              <w:t xml:space="preserve">408.3</w:t>
            </w:r>
          </w:p>
        </w:tc>
      </w:tr>
      <w:tr>
        <w:tc>
          <w:tcPr/>
          <w:p>
            <w:pPr>
              <w:pStyle w:val="Compact"/>
            </w:pPr>
            <w:r>
              <w:t xml:space="preserve">50-54</w:t>
            </w:r>
          </w:p>
        </w:tc>
        <w:tc>
          <w:tcPr/>
          <w:p>
            <w:pPr>
              <w:pStyle w:val="Compact"/>
              <w:jc w:val="right"/>
            </w:pPr>
            <w:r>
              <w:t xml:space="preserve">44.2</w:t>
            </w:r>
          </w:p>
        </w:tc>
        <w:tc>
          <w:tcPr/>
          <w:p>
            <w:pPr>
              <w:pStyle w:val="Compact"/>
            </w:pPr>
            <w:r>
              <w:t xml:space="preserve">85+</w:t>
            </w:r>
          </w:p>
        </w:tc>
        <w:tc>
          <w:tcPr/>
          <w:p>
            <w:pPr>
              <w:pStyle w:val="Compact"/>
              <w:jc w:val="right"/>
            </w:pPr>
            <w:r>
              <w:t xml:space="preserve">308.2</w:t>
            </w:r>
          </w:p>
        </w:tc>
      </w:tr>
    </w:tbl>
    <w:p>
      <w:pPr>
        <w:pStyle w:val="BodyText"/>
      </w:pPr>
      <w:r>
        <w:t xml:space="preserve">Age-adjusted incidence: male 63.0, female 48.9, male-to-female ratio 1.29 [2].</w:t>
      </w:r>
    </w:p>
    <w:bookmarkEnd w:id="10"/>
    <w:bookmarkStart w:id="11" w:name="X8e13a24818a23111c6ee04f10a838079d81b442"/>
    <w:p>
      <w:pPr>
        <w:pStyle w:val="Heading3"/>
      </w:pPr>
      <w:r>
        <w:t xml:space="preserve">2.2 Stage distribution and stage-specific survival</w:t>
      </w:r>
    </w:p>
    <w:p>
      <w:pPr>
        <w:pStyle w:val="FirstParagraph"/>
      </w:pPr>
      <w:r>
        <w:t xml:space="preserve">Data are from SEER 21 areas, 2016-2022, all races, both sexes [1].</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Stage</w:t>
            </w:r>
          </w:p>
        </w:tc>
        <w:tc>
          <w:tcPr/>
          <w:p>
            <w:pPr>
              <w:pStyle w:val="Compact"/>
              <w:jc w:val="right"/>
            </w:pPr>
            <w:r>
              <w:t xml:space="preserve">Percent of cases</w:t>
            </w:r>
          </w:p>
        </w:tc>
        <w:tc>
          <w:tcPr/>
          <w:p>
            <w:pPr>
              <w:pStyle w:val="Compact"/>
              <w:jc w:val="right"/>
            </w:pPr>
            <w:r>
              <w:t xml:space="preserve">Five-year relative survival</w:t>
            </w:r>
          </w:p>
        </w:tc>
      </w:tr>
      <w:tr>
        <w:tc>
          <w:tcPr/>
          <w:p>
            <w:pPr>
              <w:pStyle w:val="Compact"/>
            </w:pPr>
            <w:r>
              <w:t xml:space="preserve">Localized</w:t>
            </w:r>
          </w:p>
        </w:tc>
        <w:tc>
          <w:tcPr/>
          <w:p>
            <w:pPr>
              <w:pStyle w:val="Compact"/>
              <w:jc w:val="right"/>
            </w:pPr>
            <w:r>
              <w:t xml:space="preserve">24%</w:t>
            </w:r>
          </w:p>
        </w:tc>
        <w:tc>
          <w:tcPr/>
          <w:p>
            <w:pPr>
              <w:pStyle w:val="Compact"/>
              <w:jc w:val="right"/>
            </w:pPr>
            <w:r>
              <w:t xml:space="preserve">65.5%</w:t>
            </w:r>
          </w:p>
        </w:tc>
      </w:tr>
      <w:tr>
        <w:tc>
          <w:tcPr/>
          <w:p>
            <w:pPr>
              <w:pStyle w:val="Compact"/>
            </w:pPr>
            <w:r>
              <w:t xml:space="preserve">Regional</w:t>
            </w:r>
          </w:p>
        </w:tc>
        <w:tc>
          <w:tcPr/>
          <w:p>
            <w:pPr>
              <w:pStyle w:val="Compact"/>
              <w:jc w:val="right"/>
            </w:pPr>
            <w:r>
              <w:t xml:space="preserve">21%</w:t>
            </w:r>
          </w:p>
        </w:tc>
        <w:tc>
          <w:tcPr/>
          <w:p>
            <w:pPr>
              <w:pStyle w:val="Compact"/>
              <w:jc w:val="right"/>
            </w:pPr>
            <w:r>
              <w:t xml:space="preserve">38.2%</w:t>
            </w:r>
          </w:p>
        </w:tc>
      </w:tr>
      <w:tr>
        <w:tc>
          <w:tcPr/>
          <w:p>
            <w:pPr>
              <w:pStyle w:val="Compact"/>
            </w:pPr>
            <w:r>
              <w:t xml:space="preserve">Distant</w:t>
            </w:r>
          </w:p>
        </w:tc>
        <w:tc>
          <w:tcPr/>
          <w:p>
            <w:pPr>
              <w:pStyle w:val="Compact"/>
              <w:jc w:val="right"/>
            </w:pPr>
            <w:r>
              <w:t xml:space="preserve">51%</w:t>
            </w:r>
          </w:p>
        </w:tc>
        <w:tc>
          <w:tcPr/>
          <w:p>
            <w:pPr>
              <w:pStyle w:val="Compact"/>
              <w:jc w:val="right"/>
            </w:pPr>
            <w:r>
              <w:t xml:space="preserve">10.5%</w:t>
            </w:r>
          </w:p>
        </w:tc>
      </w:tr>
      <w:tr>
        <w:tc>
          <w:tcPr/>
          <w:p>
            <w:pPr>
              <w:pStyle w:val="Compact"/>
            </w:pPr>
            <w:r>
              <w:t xml:space="preserve">Unknown</w:t>
            </w:r>
          </w:p>
        </w:tc>
        <w:tc>
          <w:tcPr/>
          <w:p>
            <w:pPr>
              <w:pStyle w:val="Compact"/>
              <w:jc w:val="right"/>
            </w:pPr>
            <w:r>
              <w:t xml:space="preserve">4%</w:t>
            </w:r>
          </w:p>
        </w:tc>
        <w:tc>
          <w:tcPr/>
          <w:p>
            <w:pPr>
              <w:pStyle w:val="Compact"/>
              <w:jc w:val="right"/>
            </w:pPr>
            <w:r>
              <w:t xml:space="preserve">17.5%</w:t>
            </w:r>
          </w:p>
        </w:tc>
      </w:tr>
    </w:tbl>
    <w:p>
      <w:pPr>
        <w:pStyle w:val="BodyText"/>
      </w:pPr>
      <w:r>
        <w:t xml:space="preserve">Overall five-year relative survival is 29.5% [1]. The stage-weighted value is 29.8%, consistent with 29.5%, so the stage distribution and overall survival can be used together as calibration targets.</w:t>
      </w:r>
    </w:p>
    <w:bookmarkEnd w:id="11"/>
    <w:bookmarkStart w:id="12" w:name="screening-trials"/>
    <w:p>
      <w:pPr>
        <w:pStyle w:val="Heading3"/>
      </w:pPr>
      <w:r>
        <w:t xml:space="preserve">2.3 Screening trials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Trial</w:t>
            </w:r>
          </w:p>
        </w:tc>
        <w:tc>
          <w:tcPr/>
          <w:p>
            <w:pPr>
              <w:pStyle w:val="Compact"/>
            </w:pPr>
            <w:r>
              <w:t xml:space="preserve">Population</w:t>
            </w:r>
          </w:p>
        </w:tc>
        <w:tc>
          <w:tcPr/>
          <w:p>
            <w:pPr>
              <w:pStyle w:val="Compact"/>
            </w:pPr>
            <w:r>
              <w:t xml:space="preserve">Main result</w:t>
            </w:r>
          </w:p>
        </w:tc>
        <w:tc>
          <w:tcPr/>
          <w:p>
            <w:pPr>
              <w:pStyle w:val="Compact"/>
            </w:pPr>
            <w:r>
              <w:t xml:space="preserve">Source</w:t>
            </w:r>
          </w:p>
        </w:tc>
      </w:tr>
      <w:tr>
        <w:tc>
          <w:tcPr/>
          <w:p>
            <w:pPr>
              <w:pStyle w:val="Compact"/>
            </w:pPr>
            <w:r>
              <w:t xml:space="preserve">NLST</w:t>
            </w:r>
          </w:p>
        </w:tc>
        <w:tc>
          <w:tcPr/>
          <w:p>
            <w:pPr>
              <w:pStyle w:val="Compact"/>
            </w:pPr>
            <w:r>
              <w:t xml:space="preserve">53,454 high-risk participants</w:t>
            </w:r>
          </w:p>
        </w:tc>
        <w:tc>
          <w:tcPr/>
          <w:p>
            <w:pPr>
              <w:pStyle w:val="Compact"/>
            </w:pPr>
            <w:r>
              <w:t xml:space="preserve">LDCT versus chest radiography reduced lung-cancer mortality by 20.0% (95% CI 6.8-26.7); all-cause mortality by 6.7% (1.2-13.6); positive screening 24.2%, false positive 96.4%</w:t>
            </w:r>
          </w:p>
        </w:tc>
        <w:tc>
          <w:tcPr/>
          <w:p>
            <w:pPr>
              <w:pStyle w:val="Compact"/>
            </w:pPr>
            <w:r>
              <w:t xml:space="preserve">[3]</w:t>
            </w:r>
          </w:p>
        </w:tc>
      </w:tr>
      <w:tr>
        <w:tc>
          <w:tcPr/>
          <w:p>
            <w:pPr>
              <w:pStyle w:val="Compact"/>
            </w:pPr>
            <w:r>
              <w:t xml:space="preserve">NELSON</w:t>
            </w:r>
          </w:p>
        </w:tc>
        <w:tc>
          <w:tcPr/>
          <w:p>
            <w:pPr>
              <w:pStyle w:val="Compact"/>
            </w:pPr>
            <w:r>
              <w:t xml:space="preserve">13,195 men plus 2,594 women, ages 50-74</w:t>
            </w:r>
          </w:p>
        </w:tc>
        <w:tc>
          <w:tcPr/>
          <w:p>
            <w:pPr>
              <w:pStyle w:val="Compact"/>
            </w:pPr>
            <w:r>
              <w:t xml:space="preserve">Ten-year lung-cancer mortality RR 0.76 (0.61-0.94) in men; RR 0.67 (0.38-1.14) in women; incidence 5.58 versus 4.91 per 1,000 person-years</w:t>
            </w:r>
          </w:p>
        </w:tc>
        <w:tc>
          <w:tcPr/>
          <w:p>
            <w:pPr>
              <w:pStyle w:val="Compact"/>
            </w:pPr>
            <w:r>
              <w:t xml:space="preserve">[4]</w:t>
            </w:r>
          </w:p>
        </w:tc>
      </w:tr>
    </w:tbl>
    <w:bookmarkEnd w:id="12"/>
    <w:bookmarkStart w:id="13" w:name="cessation-cumulative-risk"/>
    <w:p>
      <w:pPr>
        <w:pStyle w:val="Heading3"/>
      </w:pPr>
      <w:r>
        <w:t xml:space="preserve">2.4 Cessation cumulative risk</w:t>
      </w:r>
    </w:p>
    <w:p>
      <w:pPr>
        <w:pStyle w:val="FirstParagraph"/>
      </w:pPr>
      <w:r>
        <w:t xml:space="preserve">UK male smokers in 1990, cumulative risk of lung-cancer death by age 75, with other causes removed [5].</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Scenario</w:t>
            </w:r>
          </w:p>
        </w:tc>
        <w:tc>
          <w:tcPr/>
          <w:p>
            <w:pPr>
              <w:pStyle w:val="Compact"/>
              <w:jc w:val="right"/>
            </w:pPr>
            <w:r>
              <w:t xml:space="preserve">Cumulative risk by age 75</w:t>
            </w:r>
          </w:p>
        </w:tc>
      </w:tr>
      <w:tr>
        <w:tc>
          <w:tcPr/>
          <w:p>
            <w:pPr>
              <w:pStyle w:val="Compact"/>
            </w:pPr>
            <w:r>
              <w:t xml:space="preserve">Continuing smoking</w:t>
            </w:r>
          </w:p>
        </w:tc>
        <w:tc>
          <w:tcPr/>
          <w:p>
            <w:pPr>
              <w:pStyle w:val="Compact"/>
              <w:jc w:val="right"/>
            </w:pPr>
            <w:r>
              <w:t xml:space="preserve">16%</w:t>
            </w:r>
          </w:p>
        </w:tc>
      </w:tr>
      <w:tr>
        <w:tc>
          <w:tcPr/>
          <w:p>
            <w:pPr>
              <w:pStyle w:val="Compact"/>
            </w:pPr>
            <w:r>
              <w:t xml:space="preserve">Cessation at 60</w:t>
            </w:r>
          </w:p>
        </w:tc>
        <w:tc>
          <w:tcPr/>
          <w:p>
            <w:pPr>
              <w:pStyle w:val="Compact"/>
              <w:jc w:val="right"/>
            </w:pPr>
            <w:r>
              <w:t xml:space="preserve">10%</w:t>
            </w:r>
          </w:p>
        </w:tc>
      </w:tr>
      <w:tr>
        <w:tc>
          <w:tcPr/>
          <w:p>
            <w:pPr>
              <w:pStyle w:val="Compact"/>
            </w:pPr>
            <w:r>
              <w:t xml:space="preserve">Cessation at 50</w:t>
            </w:r>
          </w:p>
        </w:tc>
        <w:tc>
          <w:tcPr/>
          <w:p>
            <w:pPr>
              <w:pStyle w:val="Compact"/>
              <w:jc w:val="right"/>
            </w:pPr>
            <w:r>
              <w:t xml:space="preserve">6%</w:t>
            </w:r>
          </w:p>
        </w:tc>
      </w:tr>
      <w:tr>
        <w:tc>
          <w:tcPr/>
          <w:p>
            <w:pPr>
              <w:pStyle w:val="Compact"/>
            </w:pPr>
            <w:r>
              <w:t xml:space="preserve">Cessation at 40</w:t>
            </w:r>
          </w:p>
        </w:tc>
        <w:tc>
          <w:tcPr/>
          <w:p>
            <w:pPr>
              <w:pStyle w:val="Compact"/>
              <w:jc w:val="right"/>
            </w:pPr>
            <w:r>
              <w:t xml:space="preserve">3%</w:t>
            </w:r>
          </w:p>
        </w:tc>
      </w:tr>
      <w:tr>
        <w:tc>
          <w:tcPr/>
          <w:p>
            <w:pPr>
              <w:pStyle w:val="Compact"/>
            </w:pPr>
            <w:r>
              <w:t xml:space="preserve">Cessation at 30</w:t>
            </w:r>
          </w:p>
        </w:tc>
        <w:tc>
          <w:tcPr/>
          <w:p>
            <w:pPr>
              <w:pStyle w:val="Compact"/>
              <w:jc w:val="right"/>
            </w:pPr>
            <w:r>
              <w:t xml:space="preserve">2%</w:t>
            </w:r>
          </w:p>
        </w:tc>
      </w:tr>
    </w:tbl>
    <w:p>
      <w:pPr>
        <w:pStyle w:val="BodyText"/>
      </w:pPr>
      <w:r>
        <w:t xml:space="preserve">Cessation nearly halved the expected number of lung cancers in 1990; cessation before age 50 avoided most of the attributable risk [5].</w:t>
      </w:r>
    </w:p>
    <w:bookmarkEnd w:id="13"/>
    <w:bookmarkEnd w:id="14"/>
    <w:bookmarkStart w:id="22" w:name="state-readouts"/>
    <w:p>
      <w:pPr>
        <w:pStyle w:val="Heading2"/>
      </w:pPr>
      <w:r>
        <w:t xml:space="preserve">3. State readouts</w:t>
      </w:r>
    </w:p>
    <w:bookmarkStart w:id="15" w:name="l1-energy-state"/>
    <w:p>
      <w:pPr>
        <w:pStyle w:val="Heading3"/>
      </w:pPr>
      <w:r>
        <w:t xml:space="preserve">3.1 L1 energy state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Readout</w:t>
            </w:r>
          </w:p>
        </w:tc>
        <w:tc>
          <w:tcPr/>
          <w:p>
            <w:pPr>
              <w:pStyle w:val="Compact"/>
            </w:pPr>
            <w:r>
              <w:t xml:space="preserve">Direction</w:t>
            </w:r>
          </w:p>
        </w:tc>
        <w:tc>
          <w:tcPr/>
          <w:p>
            <w:pPr>
              <w:pStyle w:val="Compact"/>
            </w:pPr>
            <w:r>
              <w:t xml:space="preserve">Effect size</w:t>
            </w:r>
          </w:p>
        </w:tc>
        <w:tc>
          <w:tcPr/>
          <w:p>
            <w:pPr>
              <w:pStyle w:val="Compact"/>
            </w:pPr>
            <w:r>
              <w:t xml:space="preserve">Source</w:t>
            </w:r>
          </w:p>
        </w:tc>
        <w:tc>
          <w:tcPr/>
          <w:p>
            <w:pPr>
              <w:pStyle w:val="Compact"/>
            </w:pPr>
            <w:r>
              <w:t xml:space="preserve">Model role</w:t>
            </w:r>
          </w:p>
        </w:tc>
      </w:tr>
      <w:tr>
        <w:tc>
          <w:tcPr/>
          <w:p>
            <w:pPr>
              <w:pStyle w:val="Compact"/>
            </w:pPr>
            <w:r>
              <w:t xml:space="preserve">Severe malnutrition (GLIM)</w:t>
            </w:r>
          </w:p>
        </w:tc>
        <w:tc>
          <w:tcPr/>
          <w:p>
            <w:pPr>
              <w:pStyle w:val="Compact"/>
            </w:pPr>
            <w:r>
              <w:t xml:space="preserve">Common in lung cancer</w:t>
            </w:r>
          </w:p>
        </w:tc>
        <w:tc>
          <w:tcPr/>
          <w:p>
            <w:pPr>
              <w:pStyle w:val="Compact"/>
            </w:pPr>
            <w:r>
              <w:t xml:space="preserve">87/374, 23.3%; adjusted one-year mortality HR 3.32 (1.96-5.61)</w:t>
            </w:r>
          </w:p>
        </w:tc>
        <w:tc>
          <w:tcPr/>
          <w:p>
            <w:pPr>
              <w:pStyle w:val="Compact"/>
            </w:pPr>
            <w:r>
              <w:t xml:space="preserve">[11]</w:t>
            </w:r>
          </w:p>
        </w:tc>
        <w:tc>
          <w:tcPr/>
          <w:p>
            <w:pPr>
              <w:pStyle w:val="Compact"/>
            </w:pPr>
            <w:r>
              <w:t xml:space="preserve">L1 readout</w:t>
            </w:r>
          </w:p>
        </w:tc>
      </w:tr>
      <w:tr>
        <w:tc>
          <w:tcPr/>
          <w:p>
            <w:pPr>
              <w:pStyle w:val="Compact"/>
            </w:pPr>
            <w:r>
              <w:t xml:space="preserve">Albumin, prealbumin</w:t>
            </w:r>
          </w:p>
        </w:tc>
        <w:tc>
          <w:tcPr/>
          <w:p>
            <w:pPr>
              <w:pStyle w:val="Compact"/>
            </w:pPr>
            <w:r>
              <w:t xml:space="preserve">Decreased</w:t>
            </w:r>
          </w:p>
        </w:tc>
        <w:tc>
          <w:tcPr/>
          <w:p>
            <w:pPr>
              <w:pStyle w:val="Compact"/>
            </w:pPr>
            <w:r>
              <w:t xml:space="preserve">Lower in severe malnutrition</w:t>
            </w:r>
          </w:p>
        </w:tc>
        <w:tc>
          <w:tcPr/>
          <w:p>
            <w:pPr>
              <w:pStyle w:val="Compact"/>
            </w:pPr>
            <w:r>
              <w:t xml:space="preserve">[11]</w:t>
            </w:r>
          </w:p>
        </w:tc>
        <w:tc>
          <w:tcPr/>
          <w:p>
            <w:pPr>
              <w:pStyle w:val="Compact"/>
            </w:pPr>
            <w:r>
              <w:t xml:space="preserve">L1 readout</w:t>
            </w:r>
          </w:p>
        </w:tc>
      </w:tr>
      <w:tr>
        <w:tc>
          <w:tcPr/>
          <w:p>
            <w:pPr>
              <w:pStyle w:val="Compact"/>
            </w:pPr>
            <w:r>
              <w:t xml:space="preserve">CRP-to-albumin ratio</w:t>
            </w:r>
          </w:p>
        </w:tc>
        <w:tc>
          <w:tcPr/>
          <w:p>
            <w:pPr>
              <w:pStyle w:val="Compact"/>
            </w:pPr>
            <w:r>
              <w:t xml:space="preserve">Increased</w:t>
            </w:r>
          </w:p>
        </w:tc>
        <w:tc>
          <w:tcPr/>
          <w:p>
            <w:pPr>
              <w:pStyle w:val="Compact"/>
            </w:pPr>
            <w:r>
              <w:t xml:space="preserve">OS HR 1.78 (1.60-1.99); PFS 1.57; RFS 1.97</w:t>
            </w:r>
          </w:p>
        </w:tc>
        <w:tc>
          <w:tcPr/>
          <w:p>
            <w:pPr>
              <w:pStyle w:val="Compact"/>
            </w:pPr>
            <w:r>
              <w:t xml:space="preserve">[12]</w:t>
            </w:r>
          </w:p>
        </w:tc>
        <w:tc>
          <w:tcPr/>
          <w:p>
            <w:pPr>
              <w:pStyle w:val="Compact"/>
            </w:pPr>
            <w:r>
              <w:t xml:space="preserve">L1 inflammation-nutrition composite</w:t>
            </w:r>
          </w:p>
        </w:tc>
      </w:tr>
      <w:tr>
        <w:tc>
          <w:tcPr/>
          <w:p>
            <w:pPr>
              <w:pStyle w:val="Compact"/>
            </w:pPr>
            <w:r>
              <w:t xml:space="preserve">HALP score</w:t>
            </w:r>
          </w:p>
        </w:tc>
        <w:tc>
          <w:tcPr/>
          <w:p>
            <w:pPr>
              <w:pStyle w:val="Compact"/>
            </w:pPr>
            <w:r>
              <w:t xml:space="preserve">Decreased</w:t>
            </w:r>
          </w:p>
        </w:tc>
        <w:tc>
          <w:tcPr/>
          <w:p>
            <w:pPr>
              <w:pStyle w:val="Compact"/>
            </w:pPr>
            <w:r>
              <w:t xml:space="preserve">OS HR 0.60 (0.50-0.73); PFS 0.52; cachexia OR 0.76</w:t>
            </w:r>
          </w:p>
        </w:tc>
        <w:tc>
          <w:tcPr/>
          <w:p>
            <w:pPr>
              <w:pStyle w:val="Compact"/>
            </w:pPr>
            <w:r>
              <w:t xml:space="preserve">[13]</w:t>
            </w:r>
          </w:p>
        </w:tc>
        <w:tc>
          <w:tcPr/>
          <w:p>
            <w:pPr>
              <w:pStyle w:val="Compact"/>
            </w:pPr>
            <w:r>
              <w:t xml:space="preserve">L1 composite</w:t>
            </w:r>
          </w:p>
        </w:tc>
      </w:tr>
      <w:tr>
        <w:tc>
          <w:tcPr/>
          <w:p>
            <w:pPr>
              <w:pStyle w:val="Compact"/>
            </w:pPr>
            <w:r>
              <w:t xml:space="preserve">IGF-1</w:t>
            </w:r>
          </w:p>
        </w:tc>
        <w:tc>
          <w:tcPr/>
          <w:p>
            <w:pPr>
              <w:pStyle w:val="Compact"/>
            </w:pPr>
            <w:r>
              <w:t xml:space="preserve">No association</w:t>
            </w:r>
          </w:p>
        </w:tc>
        <w:tc>
          <w:tcPr/>
          <w:p>
            <w:pPr>
              <w:pStyle w:val="Compact"/>
            </w:pPr>
            <w:r>
              <w:t xml:space="preserve">Nested case-control OR 1.047 (0.802-1.367)</w:t>
            </w:r>
          </w:p>
        </w:tc>
        <w:tc>
          <w:tcPr/>
          <w:p>
            <w:pPr>
              <w:pStyle w:val="Compact"/>
            </w:pPr>
            <w:r>
              <w:t xml:space="preserve">[14]</w:t>
            </w:r>
          </w:p>
        </w:tc>
        <w:tc>
          <w:tcPr/>
          <w:p>
            <w:pPr>
              <w:pStyle w:val="Compact"/>
            </w:pPr>
            <w:r>
              <w:t xml:space="preserve">L1 negative control</w:t>
            </w:r>
          </w:p>
        </w:tc>
      </w:tr>
      <w:tr>
        <w:tc>
          <w:tcPr/>
          <w:p>
            <w:pPr>
              <w:pStyle w:val="Compact"/>
            </w:pPr>
            <w:r>
              <w:t xml:space="preserve">IGFBP-3</w:t>
            </w:r>
          </w:p>
        </w:tc>
        <w:tc>
          <w:tcPr/>
          <w:p>
            <w:pPr>
              <w:pStyle w:val="Compact"/>
            </w:pPr>
            <w:r>
              <w:t xml:space="preserve">Decreased</w:t>
            </w:r>
          </w:p>
        </w:tc>
        <w:tc>
          <w:tcPr/>
          <w:p>
            <w:pPr>
              <w:pStyle w:val="Compact"/>
            </w:pPr>
            <w:r>
              <w:t xml:space="preserve">Case-control SMD -0.780 (-1.358 to -0.201)</w:t>
            </w:r>
          </w:p>
        </w:tc>
        <w:tc>
          <w:tcPr/>
          <w:p>
            <w:pPr>
              <w:pStyle w:val="Compact"/>
            </w:pPr>
            <w:r>
              <w:t xml:space="preserve">[14]</w:t>
            </w:r>
          </w:p>
        </w:tc>
        <w:tc>
          <w:tcPr/>
          <w:p>
            <w:pPr>
              <w:pStyle w:val="Compact"/>
            </w:pPr>
            <w:r>
              <w:t xml:space="preserve">L1 auxiliary readout</w:t>
            </w:r>
          </w:p>
        </w:tc>
      </w:tr>
    </w:tbl>
    <w:bookmarkEnd w:id="15"/>
    <w:bookmarkStart w:id="16" w:name="l2-signal-state"/>
    <w:p>
      <w:pPr>
        <w:pStyle w:val="Heading3"/>
      </w:pPr>
      <w:r>
        <w:t xml:space="preserve">3.2 L2 signal state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Readout</w:t>
            </w:r>
          </w:p>
        </w:tc>
        <w:tc>
          <w:tcPr/>
          <w:p>
            <w:pPr>
              <w:pStyle w:val="Compact"/>
            </w:pPr>
            <w:r>
              <w:t xml:space="preserve">Direction</w:t>
            </w:r>
          </w:p>
        </w:tc>
        <w:tc>
          <w:tcPr/>
          <w:p>
            <w:pPr>
              <w:pStyle w:val="Compact"/>
            </w:pPr>
            <w:r>
              <w:t xml:space="preserve">Effect size</w:t>
            </w:r>
          </w:p>
        </w:tc>
        <w:tc>
          <w:tcPr/>
          <w:p>
            <w:pPr>
              <w:pStyle w:val="Compact"/>
            </w:pPr>
            <w:r>
              <w:t xml:space="preserve">Source</w:t>
            </w:r>
          </w:p>
        </w:tc>
        <w:tc>
          <w:tcPr/>
          <w:p>
            <w:pPr>
              <w:pStyle w:val="Compact"/>
            </w:pPr>
            <w:r>
              <w:t xml:space="preserve">Model role</w:t>
            </w:r>
          </w:p>
        </w:tc>
      </w:tr>
      <w:tr>
        <w:tc>
          <w:tcPr/>
          <w:p>
            <w:pPr>
              <w:pStyle w:val="Compact"/>
            </w:pPr>
            <w:r>
              <w:t xml:space="preserve">FoxP3+ Treg</w:t>
            </w:r>
          </w:p>
        </w:tc>
        <w:tc>
          <w:tcPr/>
          <w:p>
            <w:pPr>
              <w:pStyle w:val="Compact"/>
            </w:pPr>
            <w:r>
              <w:t xml:space="preserve">Increased</w:t>
            </w:r>
          </w:p>
        </w:tc>
        <w:tc>
          <w:tcPr/>
          <w:p>
            <w:pPr>
              <w:pStyle w:val="Compact"/>
            </w:pPr>
            <w:r>
              <w:t xml:space="preserve">OS HR 3.88 (2.45-5.40); overall high Treg OS HR 1.20 (not significant)</w:t>
            </w:r>
          </w:p>
        </w:tc>
        <w:tc>
          <w:tcPr/>
          <w:p>
            <w:pPr>
              <w:pStyle w:val="Compact"/>
            </w:pPr>
            <w:r>
              <w:t xml:space="preserve">[15]</w:t>
            </w:r>
          </w:p>
        </w:tc>
        <w:tc>
          <w:tcPr/>
          <w:p>
            <w:pPr>
              <w:pStyle w:val="Compact"/>
            </w:pPr>
            <w:r>
              <w:t xml:space="preserve">L2 readout</w:t>
            </w:r>
          </w:p>
        </w:tc>
      </w:tr>
      <w:tr>
        <w:tc>
          <w:tcPr/>
          <w:p>
            <w:pPr>
              <w:pStyle w:val="Compact"/>
            </w:pPr>
            <w:r>
              <w:t xml:space="preserve">Low Treg</w:t>
            </w:r>
          </w:p>
        </w:tc>
        <w:tc>
          <w:tcPr/>
          <w:p>
            <w:pPr>
              <w:pStyle w:val="Compact"/>
            </w:pPr>
            <w:r>
              <w:t xml:space="preserve">Better survival</w:t>
            </w:r>
          </w:p>
        </w:tc>
        <w:tc>
          <w:tcPr/>
          <w:p>
            <w:pPr>
              <w:pStyle w:val="Compact"/>
            </w:pPr>
            <w:r>
              <w:t xml:space="preserve">Pooled OS log OR 1.646 (1.349-1.944); RFS HR 1.99</w:t>
            </w:r>
          </w:p>
        </w:tc>
        <w:tc>
          <w:tcPr/>
          <w:p>
            <w:pPr>
              <w:pStyle w:val="Compact"/>
            </w:pPr>
            <w:r>
              <w:t xml:space="preserve">[16]</w:t>
            </w:r>
          </w:p>
        </w:tc>
        <w:tc>
          <w:tcPr/>
          <w:p>
            <w:pPr>
              <w:pStyle w:val="Compact"/>
            </w:pPr>
            <w:r>
              <w:t xml:space="preserve">L2 readout</w:t>
            </w:r>
          </w:p>
        </w:tc>
      </w:tr>
      <w:tr>
        <w:tc>
          <w:tcPr/>
          <w:p>
            <w:pPr>
              <w:pStyle w:val="Compact"/>
            </w:pPr>
            <w:r>
              <w:t xml:space="preserve">M-MDSC</w:t>
            </w:r>
          </w:p>
        </w:tc>
        <w:tc>
          <w:tcPr/>
          <w:p>
            <w:pPr>
              <w:pStyle w:val="Compact"/>
            </w:pPr>
            <w:r>
              <w:t xml:space="preserve">Increased</w:t>
            </w:r>
          </w:p>
        </w:tc>
        <w:tc>
          <w:tcPr/>
          <w:p>
            <w:pPr>
              <w:pStyle w:val="Compact"/>
            </w:pPr>
            <w:r>
              <w:t xml:space="preserve">NSCLC OS HR 1.89 (1.39-2.59); SCLC 2.72; PFS/RFS 1.86</w:t>
            </w:r>
          </w:p>
        </w:tc>
        <w:tc>
          <w:tcPr/>
          <w:p>
            <w:pPr>
              <w:pStyle w:val="Compact"/>
            </w:pPr>
            <w:r>
              <w:t xml:space="preserve">[17]</w:t>
            </w:r>
          </w:p>
        </w:tc>
        <w:tc>
          <w:tcPr/>
          <w:p>
            <w:pPr>
              <w:pStyle w:val="Compact"/>
            </w:pPr>
            <w:r>
              <w:t xml:space="preserve">L2 readout</w:t>
            </w:r>
          </w:p>
        </w:tc>
      </w:tr>
      <w:tr>
        <w:tc>
          <w:tcPr/>
          <w:p>
            <w:pPr>
              <w:pStyle w:val="Compact"/>
            </w:pPr>
            <w:r>
              <w:t xml:space="preserve">Circulating MDSC</w:t>
            </w:r>
          </w:p>
        </w:tc>
        <w:tc>
          <w:tcPr/>
          <w:p>
            <w:pPr>
              <w:pStyle w:val="Compact"/>
            </w:pPr>
            <w:r>
              <w:t xml:space="preserve">Increased</w:t>
            </w:r>
          </w:p>
        </w:tc>
        <w:tc>
          <w:tcPr/>
          <w:p>
            <w:pPr>
              <w:pStyle w:val="Compact"/>
            </w:pPr>
            <w:r>
              <w:t xml:space="preserve">PFS/RFS HR 1.84 (1.28-2.65); OS 1.78; M-MDSC OS 2.10</w:t>
            </w:r>
          </w:p>
        </w:tc>
        <w:tc>
          <w:tcPr/>
          <w:p>
            <w:pPr>
              <w:pStyle w:val="Compact"/>
            </w:pPr>
            <w:r>
              <w:t xml:space="preserve">[18]</w:t>
            </w:r>
          </w:p>
        </w:tc>
        <w:tc>
          <w:tcPr/>
          <w:p>
            <w:pPr>
              <w:pStyle w:val="Compact"/>
            </w:pPr>
            <w:r>
              <w:t xml:space="preserve">L2 readout</w:t>
            </w:r>
          </w:p>
        </w:tc>
      </w:tr>
      <w:tr>
        <w:tc>
          <w:tcPr/>
          <w:p>
            <w:pPr>
              <w:pStyle w:val="Compact"/>
            </w:pPr>
            <w:r>
              <w:t xml:space="preserve">IL-6</w:t>
            </w:r>
          </w:p>
        </w:tc>
        <w:tc>
          <w:tcPr/>
          <w:p>
            <w:pPr>
              <w:pStyle w:val="Compact"/>
            </w:pPr>
            <w:r>
              <w:t xml:space="preserve">Increased</w:t>
            </w:r>
          </w:p>
        </w:tc>
        <w:tc>
          <w:tcPr/>
          <w:p>
            <w:pPr>
              <w:pStyle w:val="Compact"/>
            </w:pPr>
            <w:r>
              <w:t xml:space="preserve">Chemoradiotherapy group OS HR 1.80 (1.32-2.46); CRP 1.30 (1.09-1.54)</w:t>
            </w:r>
          </w:p>
        </w:tc>
        <w:tc>
          <w:tcPr/>
          <w:p>
            <w:pPr>
              <w:pStyle w:val="Compact"/>
            </w:pPr>
            <w:r>
              <w:t xml:space="preserve">[19]</w:t>
            </w:r>
          </w:p>
        </w:tc>
        <w:tc>
          <w:tcPr/>
          <w:p>
            <w:pPr>
              <w:pStyle w:val="Compact"/>
            </w:pPr>
            <w:r>
              <w:t xml:space="preserve">L2 readout</w:t>
            </w:r>
          </w:p>
        </w:tc>
      </w:tr>
      <w:tr>
        <w:tc>
          <w:tcPr/>
          <w:p>
            <w:pPr>
              <w:pStyle w:val="Compact"/>
            </w:pPr>
            <w:r>
              <w:t xml:space="preserve">GDF15</w:t>
            </w:r>
          </w:p>
        </w:tc>
        <w:tc>
          <w:tcPr/>
          <w:p>
            <w:pPr>
              <w:pStyle w:val="Compact"/>
            </w:pPr>
            <w:r>
              <w:t xml:space="preserve">Increased</w:t>
            </w:r>
          </w:p>
        </w:tc>
        <w:tc>
          <w:tcPr/>
          <w:p>
            <w:pPr>
              <w:pStyle w:val="Compact"/>
            </w:pPr>
            <w:r>
              <w:t xml:space="preserve">Diagnostic AUC 0.93; three-year OS OR 4.05 (1.92-8.51)</w:t>
            </w:r>
          </w:p>
        </w:tc>
        <w:tc>
          <w:tcPr/>
          <w:p>
            <w:pPr>
              <w:pStyle w:val="Compact"/>
            </w:pPr>
            <w:r>
              <w:t xml:space="preserve">[20]</w:t>
            </w:r>
          </w:p>
        </w:tc>
        <w:tc>
          <w:tcPr/>
          <w:p>
            <w:pPr>
              <w:pStyle w:val="Compact"/>
            </w:pPr>
            <w:r>
              <w:t xml:space="preserve">L2 readout</w:t>
            </w:r>
          </w:p>
        </w:tc>
      </w:tr>
      <w:tr>
        <w:tc>
          <w:tcPr/>
          <w:p>
            <w:pPr>
              <w:pStyle w:val="Compact"/>
            </w:pPr>
            <w:r>
              <w:t xml:space="preserve">TILs</w:t>
            </w:r>
          </w:p>
        </w:tc>
        <w:tc>
          <w:tcPr/>
          <w:p>
            <w:pPr>
              <w:pStyle w:val="Compact"/>
            </w:pPr>
            <w:r>
              <w:t xml:space="preserve">Increased</w:t>
            </w:r>
          </w:p>
        </w:tc>
        <w:tc>
          <w:tcPr/>
          <w:p>
            <w:pPr>
              <w:pStyle w:val="Compact"/>
            </w:pPr>
            <w:r>
              <w:t xml:space="preserve">OS HR 0.67 (0.55-0.81); CD8/CD3/CD4 favorable; FOXP3+ HR 1.35 (0.87-2.11)</w:t>
            </w:r>
          </w:p>
        </w:tc>
        <w:tc>
          <w:tcPr/>
          <w:p>
            <w:pPr>
              <w:pStyle w:val="Compact"/>
            </w:pPr>
            <w:r>
              <w:t xml:space="preserve">[21]</w:t>
            </w:r>
          </w:p>
        </w:tc>
        <w:tc>
          <w:tcPr/>
          <w:p>
            <w:pPr>
              <w:pStyle w:val="Compact"/>
            </w:pPr>
            <w:r>
              <w:t xml:space="preserve">L2 readout</w:t>
            </w:r>
          </w:p>
        </w:tc>
      </w:tr>
      <w:tr>
        <w:tc>
          <w:tcPr/>
          <w:p>
            <w:pPr>
              <w:pStyle w:val="Compact"/>
            </w:pPr>
            <w:r>
              <w:t xml:space="preserve">CD8+ TILs</w:t>
            </w:r>
          </w:p>
        </w:tc>
        <w:tc>
          <w:tcPr/>
          <w:p>
            <w:pPr>
              <w:pStyle w:val="Compact"/>
            </w:pPr>
            <w:r>
              <w:t xml:space="preserve">Increased</w:t>
            </w:r>
          </w:p>
        </w:tc>
        <w:tc>
          <w:tcPr/>
          <w:p>
            <w:pPr>
              <w:pStyle w:val="Compact"/>
            </w:pPr>
            <w:r>
              <w:t xml:space="preserve">OS HR 0.60 (0.46-0.77); PFS 0.68; ORR 2.26</w:t>
            </w:r>
          </w:p>
        </w:tc>
        <w:tc>
          <w:tcPr/>
          <w:p>
            <w:pPr>
              <w:pStyle w:val="Compact"/>
            </w:pPr>
            <w:r>
              <w:t xml:space="preserve">[22]</w:t>
            </w:r>
          </w:p>
        </w:tc>
        <w:tc>
          <w:tcPr/>
          <w:p>
            <w:pPr>
              <w:pStyle w:val="Compact"/>
            </w:pPr>
            <w:r>
              <w:t xml:space="preserve">L2 readout</w:t>
            </w:r>
          </w:p>
        </w:tc>
      </w:tr>
      <w:tr>
        <w:tc>
          <w:tcPr/>
          <w:p>
            <w:pPr>
              <w:pStyle w:val="Compact"/>
            </w:pPr>
            <w:r>
              <w:t xml:space="preserve">FoxP3+ stroma</w:t>
            </w:r>
          </w:p>
        </w:tc>
        <w:tc>
          <w:tcPr/>
          <w:p>
            <w:pPr>
              <w:pStyle w:val="Compact"/>
            </w:pPr>
            <w:r>
              <w:t xml:space="preserve">Increased</w:t>
            </w:r>
          </w:p>
        </w:tc>
        <w:tc>
          <w:tcPr/>
          <w:p>
            <w:pPr>
              <w:pStyle w:val="Compact"/>
            </w:pPr>
            <w:r>
              <w:t xml:space="preserve">RFS HR 1.90 (1.05-2.76)</w:t>
            </w:r>
          </w:p>
        </w:tc>
        <w:tc>
          <w:tcPr/>
          <w:p>
            <w:pPr>
              <w:pStyle w:val="Compact"/>
            </w:pPr>
            <w:r>
              <w:t xml:space="preserve">[23]</w:t>
            </w:r>
          </w:p>
        </w:tc>
        <w:tc>
          <w:tcPr/>
          <w:p>
            <w:pPr>
              <w:pStyle w:val="Compact"/>
            </w:pPr>
            <w:r>
              <w:t xml:space="preserve">L2 readout</w:t>
            </w:r>
          </w:p>
        </w:tc>
      </w:tr>
      <w:tr>
        <w:tc>
          <w:tcPr/>
          <w:p>
            <w:pPr>
              <w:pStyle w:val="Compact"/>
            </w:pPr>
            <w:r>
              <w:t xml:space="preserve">High NK</w:t>
            </w:r>
          </w:p>
        </w:tc>
        <w:tc>
          <w:tcPr/>
          <w:p>
            <w:pPr>
              <w:pStyle w:val="Compact"/>
            </w:pPr>
            <w:r>
              <w:t xml:space="preserve">Better survival</w:t>
            </w:r>
          </w:p>
        </w:tc>
        <w:tc>
          <w:tcPr/>
          <w:p>
            <w:pPr>
              <w:pStyle w:val="Compact"/>
            </w:pPr>
            <w:r>
              <w:t xml:space="preserve">115 LUAD cases; high NK associated with longer PFS/OS; high NK/high Treg best</w:t>
            </w:r>
          </w:p>
        </w:tc>
        <w:tc>
          <w:tcPr/>
          <w:p>
            <w:pPr>
              <w:pStyle w:val="Compact"/>
            </w:pPr>
            <w:r>
              <w:t xml:space="preserve">[24]</w:t>
            </w:r>
          </w:p>
        </w:tc>
        <w:tc>
          <w:tcPr/>
          <w:p>
            <w:pPr>
              <w:pStyle w:val="Compact"/>
            </w:pPr>
            <w:r>
              <w:t xml:space="preserve">L2 readout</w:t>
            </w:r>
          </w:p>
        </w:tc>
      </w:tr>
      <w:tr>
        <w:tc>
          <w:tcPr/>
          <w:p>
            <w:pPr>
              <w:pStyle w:val="Compact"/>
            </w:pPr>
            <w:r>
              <w:t xml:space="preserve">IL-35</w:t>
            </w:r>
          </w:p>
        </w:tc>
        <w:tc>
          <w:tcPr/>
          <w:p>
            <w:pPr>
              <w:pStyle w:val="Compact"/>
            </w:pPr>
            <w:r>
              <w:t xml:space="preserve">Increased</w:t>
            </w:r>
          </w:p>
        </w:tc>
        <w:tc>
          <w:tcPr/>
          <w:p>
            <w:pPr>
              <w:pStyle w:val="Compact"/>
            </w:pPr>
            <w:r>
              <w:t xml:space="preserve">Inverse correlation with NKp46+ cell density (r = -0.526); inhibits NK function</w:t>
            </w:r>
          </w:p>
        </w:tc>
        <w:tc>
          <w:tcPr/>
          <w:p>
            <w:pPr>
              <w:pStyle w:val="Compact"/>
            </w:pPr>
            <w:r>
              <w:t xml:space="preserve">[25]</w:t>
            </w:r>
          </w:p>
        </w:tc>
        <w:tc>
          <w:tcPr/>
          <w:p>
            <w:pPr>
              <w:pStyle w:val="Compact"/>
            </w:pPr>
            <w:r>
              <w:t xml:space="preserve">L2 suppressive signal</w:t>
            </w:r>
          </w:p>
        </w:tc>
      </w:tr>
    </w:tbl>
    <w:bookmarkEnd w:id="16"/>
    <w:bookmarkStart w:id="17" w:name="l3-power-module-state"/>
    <w:p>
      <w:pPr>
        <w:pStyle w:val="Heading3"/>
      </w:pPr>
      <w:r>
        <w:t xml:space="preserve">3.3 L3 power-module state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Functional axis</w:t>
            </w:r>
          </w:p>
        </w:tc>
        <w:tc>
          <w:tcPr/>
          <w:p>
            <w:pPr>
              <w:pStyle w:val="Compact"/>
            </w:pPr>
            <w:r>
              <w:t xml:space="preserve">Readout</w:t>
            </w:r>
          </w:p>
        </w:tc>
        <w:tc>
          <w:tcPr/>
          <w:p>
            <w:pPr>
              <w:pStyle w:val="Compact"/>
            </w:pPr>
            <w:r>
              <w:t xml:space="preserve">Direction</w:t>
            </w:r>
          </w:p>
        </w:tc>
        <w:tc>
          <w:tcPr/>
          <w:p>
            <w:pPr>
              <w:pStyle w:val="Compact"/>
            </w:pPr>
            <w:r>
              <w:t xml:space="preserve">Effect size</w:t>
            </w:r>
          </w:p>
        </w:tc>
        <w:tc>
          <w:tcPr/>
          <w:p>
            <w:pPr>
              <w:pStyle w:val="Compact"/>
            </w:pPr>
            <w:r>
              <w:t xml:space="preserve">Source</w:t>
            </w:r>
          </w:p>
        </w:tc>
      </w:tr>
      <w:tr>
        <w:tc>
          <w:tcPr/>
          <w:p>
            <w:pPr>
              <w:pStyle w:val="Compact"/>
            </w:pPr>
            <w:r>
              <w:t xml:space="preserve">Mucus handling</w:t>
            </w:r>
          </w:p>
        </w:tc>
        <w:tc>
          <w:tcPr/>
          <w:p>
            <w:pPr>
              <w:pStyle w:val="Compact"/>
            </w:pPr>
            <w:r>
              <w:t xml:space="preserve">MUC5AC</w:t>
            </w:r>
          </w:p>
        </w:tc>
        <w:tc>
          <w:tcPr/>
          <w:p>
            <w:pPr>
              <w:pStyle w:val="Compact"/>
            </w:pPr>
            <w:r>
              <w:t xml:space="preserve">Increased</w:t>
            </w:r>
          </w:p>
        </w:tc>
        <w:tc>
          <w:tcPr/>
          <w:p>
            <w:pPr>
              <w:pStyle w:val="Compact"/>
            </w:pPr>
            <w:r>
              <w:t xml:space="preserve">Higher in smokers than never smokers; higher in COPD, emphysema, and progressive airflow limitation</w:t>
            </w:r>
          </w:p>
        </w:tc>
        <w:tc>
          <w:tcPr/>
          <w:p>
            <w:pPr>
              <w:pStyle w:val="Compact"/>
            </w:pPr>
            <w:r>
              <w:t xml:space="preserve">[29]</w:t>
            </w:r>
          </w:p>
        </w:tc>
      </w:tr>
      <w:tr>
        <w:tc>
          <w:tcPr/>
          <w:p>
            <w:pPr>
              <w:pStyle w:val="Compact"/>
            </w:pPr>
            <w:r>
              <w:t xml:space="preserve">Mucus handling</w:t>
            </w:r>
          </w:p>
        </w:tc>
        <w:tc>
          <w:tcPr/>
          <w:p>
            <w:pPr>
              <w:pStyle w:val="Compact"/>
            </w:pPr>
            <w:r>
              <w:t xml:space="preserve">MUC5B</w:t>
            </w:r>
          </w:p>
        </w:tc>
        <w:tc>
          <w:tcPr/>
          <w:p>
            <w:pPr>
              <w:pStyle w:val="Compact"/>
            </w:pPr>
            <w:r>
              <w:t xml:space="preserve">Decreased</w:t>
            </w:r>
          </w:p>
        </w:tc>
        <w:tc>
          <w:tcPr/>
          <w:p>
            <w:pPr>
              <w:pStyle w:val="Compact"/>
            </w:pPr>
            <w:r>
              <w:t xml:space="preserve">Lower in smokers than never smokers; positively correlated with FEV1 and diffusion capacity</w:t>
            </w:r>
          </w:p>
        </w:tc>
        <w:tc>
          <w:tcPr/>
          <w:p>
            <w:pPr>
              <w:pStyle w:val="Compact"/>
            </w:pPr>
            <w:r>
              <w:t xml:space="preserve">[29]</w:t>
            </w:r>
          </w:p>
        </w:tc>
      </w:tr>
      <w:tr>
        <w:tc>
          <w:tcPr/>
          <w:p>
            <w:pPr>
              <w:pStyle w:val="Compact"/>
            </w:pPr>
            <w:r>
              <w:t xml:space="preserve">Surface liquid</w:t>
            </w:r>
          </w:p>
        </w:tc>
        <w:tc>
          <w:tcPr/>
          <w:p>
            <w:pPr>
              <w:pStyle w:val="Compact"/>
            </w:pPr>
            <w:r>
              <w:t xml:space="preserve">ASL volume</w:t>
            </w:r>
          </w:p>
        </w:tc>
        <w:tc>
          <w:tcPr/>
          <w:p>
            <w:pPr>
              <w:pStyle w:val="Compact"/>
            </w:pPr>
            <w:r>
              <w:t xml:space="preserve">Decreased</w:t>
            </w:r>
          </w:p>
        </w:tc>
        <w:tc>
          <w:tcPr/>
          <w:p>
            <w:pPr>
              <w:pStyle w:val="Compact"/>
            </w:pPr>
            <w:r>
              <w:t xml:space="preserve">Cigarette smoke/TGF-beta1 reduce CFTR and BK conductance and lower ASL volume</w:t>
            </w:r>
          </w:p>
        </w:tc>
        <w:tc>
          <w:tcPr/>
          <w:p>
            <w:pPr>
              <w:pStyle w:val="Compact"/>
            </w:pPr>
            <w:r>
              <w:t xml:space="preserve">[30]</w:t>
            </w:r>
          </w:p>
        </w:tc>
      </w:tr>
      <w:tr>
        <w:tc>
          <w:tcPr/>
          <w:p>
            <w:pPr>
              <w:pStyle w:val="Compact"/>
            </w:pPr>
            <w:r>
              <w:t xml:space="preserve">Reabsorptive clearance</w:t>
            </w:r>
          </w:p>
        </w:tc>
        <w:tc>
          <w:tcPr/>
          <w:p>
            <w:pPr>
              <w:pStyle w:val="Compact"/>
            </w:pPr>
            <w:r>
              <w:t xml:space="preserve">CFTR/BK conductance</w:t>
            </w:r>
          </w:p>
        </w:tc>
        <w:tc>
          <w:tcPr/>
          <w:p>
            <w:pPr>
              <w:pStyle w:val="Compact"/>
            </w:pPr>
            <w:r>
              <w:t xml:space="preserve">Decreased</w:t>
            </w:r>
          </w:p>
        </w:tc>
        <w:tc>
          <w:tcPr/>
          <w:p>
            <w:pPr>
              <w:pStyle w:val="Compact"/>
            </w:pPr>
            <w:r>
              <w:t xml:space="preserve">Cigarette smoke reduces CFTR- and BK-mediated chloride/potassium secretion</w:t>
            </w:r>
          </w:p>
        </w:tc>
        <w:tc>
          <w:tcPr/>
          <w:p>
            <w:pPr>
              <w:pStyle w:val="Compact"/>
            </w:pPr>
            <w:r>
              <w:t xml:space="preserve">[30]</w:t>
            </w:r>
          </w:p>
        </w:tc>
      </w:tr>
      <w:tr>
        <w:tc>
          <w:tcPr/>
          <w:p>
            <w:pPr>
              <w:pStyle w:val="Compact"/>
            </w:pPr>
            <w:r>
              <w:t xml:space="preserve">Airway clearance</w:t>
            </w:r>
          </w:p>
        </w:tc>
        <w:tc>
          <w:tcPr/>
          <w:p>
            <w:pPr>
              <w:pStyle w:val="Compact"/>
            </w:pPr>
            <w:r>
              <w:t xml:space="preserve">NOCHIP</w:t>
            </w:r>
          </w:p>
        </w:tc>
        <w:tc>
          <w:tcPr/>
          <w:p>
            <w:pPr>
              <w:pStyle w:val="Compact"/>
            </w:pPr>
            <w:r>
              <w:t xml:space="preserve">Decreased</w:t>
            </w:r>
          </w:p>
        </w:tc>
        <w:tc>
          <w:tcPr/>
          <w:p>
            <w:pPr>
              <w:pStyle w:val="Compact"/>
            </w:pPr>
            <w:r>
              <w:t xml:space="preserve">Smoking controls p = 0.007; COPD p &lt; 0.0001; correlated with FEV1 p = 0.003</w:t>
            </w:r>
          </w:p>
        </w:tc>
        <w:tc>
          <w:tcPr/>
          <w:p>
            <w:pPr>
              <w:pStyle w:val="Compact"/>
            </w:pPr>
            <w:r>
              <w:t xml:space="preserve">[26]</w:t>
            </w:r>
          </w:p>
        </w:tc>
      </w:tr>
      <w:tr>
        <w:tc>
          <w:tcPr/>
          <w:p>
            <w:pPr>
              <w:pStyle w:val="Compact"/>
            </w:pPr>
            <w:r>
              <w:t xml:space="preserve">Airway clearance</w:t>
            </w:r>
          </w:p>
        </w:tc>
        <w:tc>
          <w:tcPr/>
          <w:p>
            <w:pPr>
              <w:pStyle w:val="Compact"/>
            </w:pPr>
            <w:r>
              <w:t xml:space="preserve">BACI, TBC</w:t>
            </w:r>
          </w:p>
        </w:tc>
        <w:tc>
          <w:tcPr/>
          <w:p>
            <w:pPr>
              <w:pStyle w:val="Compact"/>
            </w:pPr>
            <w:r>
              <w:t xml:space="preserve">Decreased</w:t>
            </w:r>
          </w:p>
        </w:tc>
        <w:tc>
          <w:tcPr/>
          <w:p>
            <w:pPr>
              <w:pStyle w:val="Compact"/>
            </w:pPr>
            <w:r>
              <w:t xml:space="preserve">COPD lower than healthy never smokers; smokers intermediate</w:t>
            </w:r>
          </w:p>
        </w:tc>
        <w:tc>
          <w:tcPr/>
          <w:p>
            <w:pPr>
              <w:pStyle w:val="Compact"/>
            </w:pPr>
            <w:r>
              <w:t xml:space="preserve">[27]</w:t>
            </w:r>
          </w:p>
        </w:tc>
      </w:tr>
      <w:tr>
        <w:tc>
          <w:tcPr/>
          <w:p>
            <w:pPr>
              <w:pStyle w:val="Compact"/>
            </w:pPr>
            <w:r>
              <w:t xml:space="preserve">Alveolar clearance</w:t>
            </w:r>
          </w:p>
        </w:tc>
        <w:tc>
          <w:tcPr/>
          <w:p>
            <w:pPr>
              <w:pStyle w:val="Compact"/>
            </w:pPr>
            <w:r>
              <w:t xml:space="preserve">Macrophage migration</w:t>
            </w:r>
          </w:p>
        </w:tc>
        <w:tc>
          <w:tcPr/>
          <w:p>
            <w:pPr>
              <w:pStyle w:val="Compact"/>
            </w:pPr>
            <w:r>
              <w:t xml:space="preserve">Decreased</w:t>
            </w:r>
          </w:p>
        </w:tc>
        <w:tc>
          <w:tcPr/>
          <w:p>
            <w:pPr>
              <w:pStyle w:val="Compact"/>
            </w:pPr>
            <w:r>
              <w:t xml:space="preserve">Smoking impairs alveolar macrophage migration and particle clearance, producing particle overload</w:t>
            </w:r>
          </w:p>
        </w:tc>
        <w:tc>
          <w:tcPr/>
          <w:p>
            <w:pPr>
              <w:pStyle w:val="Compact"/>
            </w:pPr>
            <w:r>
              <w:t xml:space="preserve">[28]</w:t>
            </w:r>
          </w:p>
        </w:tc>
      </w:tr>
      <w:tr>
        <w:tc>
          <w:tcPr/>
          <w:p>
            <w:pPr>
              <w:pStyle w:val="Compact"/>
            </w:pPr>
            <w:r>
              <w:t xml:space="preserve">Interstitial-lymphatic drainage</w:t>
            </w:r>
          </w:p>
        </w:tc>
        <w:tc>
          <w:tcPr/>
          <w:p>
            <w:pPr>
              <w:pStyle w:val="Compact"/>
            </w:pPr>
            <w:r>
              <w:t xml:space="preserve">LVD</w:t>
            </w:r>
          </w:p>
        </w:tc>
        <w:tc>
          <w:tcPr/>
          <w:p>
            <w:pPr>
              <w:pStyle w:val="Compact"/>
            </w:pPr>
            <w:r>
              <w:t xml:space="preserve">Increased</w:t>
            </w:r>
          </w:p>
        </w:tc>
        <w:tc>
          <w:tcPr/>
          <w:p>
            <w:pPr>
              <w:pStyle w:val="Compact"/>
            </w:pPr>
            <w:r>
              <w:t xml:space="preserve">130 NSCLC cases; high LVD an independent adverse prognostic factor</w:t>
            </w:r>
          </w:p>
        </w:tc>
        <w:tc>
          <w:tcPr/>
          <w:p>
            <w:pPr>
              <w:pStyle w:val="Compact"/>
            </w:pPr>
            <w:r>
              <w:t xml:space="preserve">[31]</w:t>
            </w:r>
          </w:p>
        </w:tc>
      </w:tr>
    </w:tbl>
    <w:bookmarkEnd w:id="17"/>
    <w:bookmarkStart w:id="18" w:name="l4-product-state"/>
    <w:p>
      <w:pPr>
        <w:pStyle w:val="Heading3"/>
      </w:pPr>
      <w:r>
        <w:t xml:space="preserve">3.4 L4 product state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Readout</w:t>
            </w:r>
          </w:p>
        </w:tc>
        <w:tc>
          <w:tcPr/>
          <w:p>
            <w:pPr>
              <w:pStyle w:val="Compact"/>
            </w:pPr>
            <w:r>
              <w:t xml:space="preserve">Direction</w:t>
            </w:r>
          </w:p>
        </w:tc>
        <w:tc>
          <w:tcPr/>
          <w:p>
            <w:pPr>
              <w:pStyle w:val="Compact"/>
            </w:pPr>
            <w:r>
              <w:t xml:space="preserve">Effect size</w:t>
            </w:r>
          </w:p>
        </w:tc>
        <w:tc>
          <w:tcPr/>
          <w:p>
            <w:pPr>
              <w:pStyle w:val="Compact"/>
            </w:pPr>
            <w:r>
              <w:t xml:space="preserve">Source</w:t>
            </w:r>
          </w:p>
        </w:tc>
        <w:tc>
          <w:tcPr/>
          <w:p>
            <w:pPr>
              <w:pStyle w:val="Compact"/>
            </w:pPr>
            <w:r>
              <w:t xml:space="preserve">Model role</w:t>
            </w:r>
          </w:p>
        </w:tc>
      </w:tr>
      <w:tr>
        <w:tc>
          <w:tcPr/>
          <w:p>
            <w:pPr>
              <w:pStyle w:val="Compact"/>
            </w:pPr>
            <w:r>
              <w:t xml:space="preserve">Interstitial fluid pressure</w:t>
            </w:r>
          </w:p>
        </w:tc>
        <w:tc>
          <w:tcPr/>
          <w:p>
            <w:pPr>
              <w:pStyle w:val="Compact"/>
            </w:pPr>
            <w:r>
              <w:t xml:space="preserve">Increased</w:t>
            </w:r>
          </w:p>
        </w:tc>
        <w:tc>
          <w:tcPr/>
          <w:p>
            <w:pPr>
              <w:pStyle w:val="Compact"/>
            </w:pPr>
            <w:r>
              <w:t xml:space="preserve">Solid tumors show increased IFP, a barrier to transcapillary transport; vessel abnormalities, fibrosis, and interstitial contraction contribute</w:t>
            </w:r>
          </w:p>
        </w:tc>
        <w:tc>
          <w:tcPr/>
          <w:p>
            <w:pPr>
              <w:pStyle w:val="Compact"/>
            </w:pPr>
            <w:r>
              <w:t xml:space="preserve">[32]</w:t>
            </w:r>
          </w:p>
        </w:tc>
        <w:tc>
          <w:tcPr/>
          <w:p>
            <w:pPr>
              <w:pStyle w:val="Compact"/>
            </w:pPr>
            <w:r>
              <w:t xml:space="preserve">L4 core readout</w:t>
            </w:r>
          </w:p>
        </w:tc>
      </w:tr>
      <w:tr>
        <w:tc>
          <w:tcPr/>
          <w:p>
            <w:pPr>
              <w:pStyle w:val="Compact"/>
            </w:pPr>
            <w:r>
              <w:t xml:space="preserve">LDH</w:t>
            </w:r>
          </w:p>
        </w:tc>
        <w:tc>
          <w:tcPr/>
          <w:p>
            <w:pPr>
              <w:pStyle w:val="Compact"/>
            </w:pPr>
            <w:r>
              <w:t xml:space="preserve">Increased</w:t>
            </w:r>
          </w:p>
        </w:tc>
        <w:tc>
          <w:tcPr/>
          <w:p>
            <w:pPr>
              <w:pStyle w:val="Compact"/>
            </w:pPr>
            <w:r>
              <w:t xml:space="preserve">ICI population PFS HR 1.53 (1.27-1.83); OS 2.11 (1.43-3.11); multivariable OS 2.38</w:t>
            </w:r>
          </w:p>
        </w:tc>
        <w:tc>
          <w:tcPr/>
          <w:p>
            <w:pPr>
              <w:pStyle w:val="Compact"/>
            </w:pPr>
            <w:r>
              <w:t xml:space="preserve">[33]</w:t>
            </w:r>
          </w:p>
        </w:tc>
        <w:tc>
          <w:tcPr/>
          <w:p>
            <w:pPr>
              <w:pStyle w:val="Compact"/>
            </w:pPr>
            <w:r>
              <w:t xml:space="preserve">L4 readout</w:t>
            </w:r>
          </w:p>
        </w:tc>
      </w:tr>
      <w:tr>
        <w:tc>
          <w:tcPr/>
          <w:p>
            <w:pPr>
              <w:pStyle w:val="Compact"/>
            </w:pPr>
            <w:r>
              <w:t xml:space="preserve">LDH</w:t>
            </w:r>
          </w:p>
        </w:tc>
        <w:tc>
          <w:tcPr/>
          <w:p>
            <w:pPr>
              <w:pStyle w:val="Compact"/>
            </w:pPr>
            <w:r>
              <w:t xml:space="preserve">Increased</w:t>
            </w:r>
          </w:p>
        </w:tc>
        <w:tc>
          <w:tcPr/>
          <w:p>
            <w:pPr>
              <w:pStyle w:val="Compact"/>
            </w:pPr>
            <w:r>
              <w:t xml:space="preserve">EGFR-TKI population PFS HR 1.88 (1.37-2.59); OS 2.44 (1.84-3.23)</w:t>
            </w:r>
          </w:p>
        </w:tc>
        <w:tc>
          <w:tcPr/>
          <w:p>
            <w:pPr>
              <w:pStyle w:val="Compact"/>
            </w:pPr>
            <w:r>
              <w:t xml:space="preserve">[34]</w:t>
            </w:r>
          </w:p>
        </w:tc>
        <w:tc>
          <w:tcPr/>
          <w:p>
            <w:pPr>
              <w:pStyle w:val="Compact"/>
            </w:pPr>
            <w:r>
              <w:t xml:space="preserve">L4 readout</w:t>
            </w:r>
          </w:p>
        </w:tc>
      </w:tr>
      <w:tr>
        <w:tc>
          <w:tcPr/>
          <w:p>
            <w:pPr>
              <w:pStyle w:val="Compact"/>
            </w:pPr>
            <w:r>
              <w:t xml:space="preserve">LDH</w:t>
            </w:r>
          </w:p>
        </w:tc>
        <w:tc>
          <w:tcPr/>
          <w:p>
            <w:pPr>
              <w:pStyle w:val="Compact"/>
            </w:pPr>
            <w:r>
              <w:t xml:space="preserve">Increased</w:t>
            </w:r>
          </w:p>
        </w:tc>
        <w:tc>
          <w:tcPr/>
          <w:p>
            <w:pPr>
              <w:pStyle w:val="Compact"/>
            </w:pPr>
            <w:r>
              <w:t xml:space="preserve">26 studies, 3,429 patients; OS HR 1.19 (1.11-1.24); PFS not significant</w:t>
            </w:r>
          </w:p>
        </w:tc>
        <w:tc>
          <w:tcPr/>
          <w:p>
            <w:pPr>
              <w:pStyle w:val="Compact"/>
            </w:pPr>
            <w:r>
              <w:t xml:space="preserve">[35]</w:t>
            </w:r>
          </w:p>
        </w:tc>
        <w:tc>
          <w:tcPr/>
          <w:p>
            <w:pPr>
              <w:pStyle w:val="Compact"/>
            </w:pPr>
            <w:r>
              <w:t xml:space="preserve">L4 readout</w:t>
            </w:r>
          </w:p>
        </w:tc>
      </w:tr>
      <w:tr>
        <w:tc>
          <w:tcPr/>
          <w:p>
            <w:pPr>
              <w:pStyle w:val="Compact"/>
            </w:pPr>
            <w:r>
              <w:t xml:space="preserve">LOXL2</w:t>
            </w:r>
          </w:p>
        </w:tc>
        <w:tc>
          <w:tcPr/>
          <w:p>
            <w:pPr>
              <w:pStyle w:val="Compact"/>
            </w:pPr>
            <w:r>
              <w:t xml:space="preserve">Increased</w:t>
            </w:r>
          </w:p>
        </w:tc>
        <w:tc>
          <w:tcPr/>
          <w:p>
            <w:pPr>
              <w:pStyle w:val="Compact"/>
            </w:pPr>
            <w:r>
              <w:t xml:space="preserve">High expression in lung squamous carcinoma; OS p = 0.019, PFS p = 0.015; independent prognostic factor</w:t>
            </w:r>
          </w:p>
        </w:tc>
        <w:tc>
          <w:tcPr/>
          <w:p>
            <w:pPr>
              <w:pStyle w:val="Compact"/>
            </w:pPr>
            <w:r>
              <w:t xml:space="preserve">[36]</w:t>
            </w:r>
          </w:p>
        </w:tc>
        <w:tc>
          <w:tcPr/>
          <w:p>
            <w:pPr>
              <w:pStyle w:val="Compact"/>
            </w:pPr>
            <w:r>
              <w:t xml:space="preserve">L4 matrix crosslinking readout</w:t>
            </w:r>
          </w:p>
        </w:tc>
      </w:tr>
      <w:tr>
        <w:tc>
          <w:tcPr/>
          <w:p>
            <w:pPr>
              <w:pStyle w:val="Compact"/>
            </w:pPr>
            <w:r>
              <w:t xml:space="preserve">LOXL1</w:t>
            </w:r>
          </w:p>
        </w:tc>
        <w:tc>
          <w:tcPr/>
          <w:p>
            <w:pPr>
              <w:pStyle w:val="Compact"/>
            </w:pPr>
            <w:r>
              <w:t xml:space="preserve">Increased</w:t>
            </w:r>
          </w:p>
        </w:tc>
        <w:tc>
          <w:tcPr/>
          <w:p>
            <w:pPr>
              <w:pStyle w:val="Compact"/>
            </w:pPr>
            <w:r>
              <w:t xml:space="preserve">88 NSCLC cases; high expression associated with more CD8+ T cells, less lymphatic invasion, earlier stage, longer survival</w:t>
            </w:r>
          </w:p>
        </w:tc>
        <w:tc>
          <w:tcPr/>
          <w:p>
            <w:pPr>
              <w:pStyle w:val="Compact"/>
            </w:pPr>
            <w:r>
              <w:t xml:space="preserve">[37]</w:t>
            </w:r>
          </w:p>
        </w:tc>
        <w:tc>
          <w:tcPr/>
          <w:p>
            <w:pPr>
              <w:pStyle w:val="Compact"/>
            </w:pPr>
            <w:r>
              <w:t xml:space="preserve">L4 counter-direction readout</w:t>
            </w:r>
          </w:p>
        </w:tc>
      </w:tr>
    </w:tbl>
    <w:bookmarkEnd w:id="18"/>
    <w:bookmarkStart w:id="19" w:name="l5-repair-state"/>
    <w:p>
      <w:pPr>
        <w:pStyle w:val="Heading3"/>
      </w:pPr>
      <w:r>
        <w:t xml:space="preserve">3.5 L5 repair state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Readout</w:t>
            </w:r>
          </w:p>
        </w:tc>
        <w:tc>
          <w:tcPr/>
          <w:p>
            <w:pPr>
              <w:pStyle w:val="Compact"/>
            </w:pPr>
            <w:r>
              <w:t xml:space="preserve">Direction</w:t>
            </w:r>
          </w:p>
        </w:tc>
        <w:tc>
          <w:tcPr/>
          <w:p>
            <w:pPr>
              <w:pStyle w:val="Compact"/>
            </w:pPr>
            <w:r>
              <w:t xml:space="preserve">Effect size</w:t>
            </w:r>
          </w:p>
        </w:tc>
        <w:tc>
          <w:tcPr/>
          <w:p>
            <w:pPr>
              <w:pStyle w:val="Compact"/>
            </w:pPr>
            <w:r>
              <w:t xml:space="preserve">Source</w:t>
            </w:r>
          </w:p>
        </w:tc>
        <w:tc>
          <w:tcPr/>
          <w:p>
            <w:pPr>
              <w:pStyle w:val="Compact"/>
            </w:pPr>
            <w:r>
              <w:t xml:space="preserve">Model role</w:t>
            </w:r>
          </w:p>
        </w:tc>
      </w:tr>
      <w:tr>
        <w:tc>
          <w:tcPr/>
          <w:p>
            <w:pPr>
              <w:pStyle w:val="Compact"/>
            </w:pPr>
            <w:r>
              <w:t xml:space="preserve">Lymphocyte DNA repair capacity</w:t>
            </w:r>
          </w:p>
        </w:tc>
        <w:tc>
          <w:tcPr/>
          <w:p>
            <w:pPr>
              <w:pStyle w:val="Compact"/>
            </w:pPr>
            <w:r>
              <w:t xml:space="preserve">Decreased</w:t>
            </w:r>
          </w:p>
        </w:tc>
        <w:tc>
          <w:tcPr/>
          <w:p>
            <w:pPr>
              <w:pStyle w:val="Compact"/>
            </w:pPr>
            <w:r>
              <w:t xml:space="preserve">Poor repair after PM2.5: lung-cancer OR 1.8; wood smoke OR 2.3; combined up to OR 3.5</w:t>
            </w:r>
          </w:p>
        </w:tc>
        <w:tc>
          <w:tcPr/>
          <w:p>
            <w:pPr>
              <w:pStyle w:val="Compact"/>
            </w:pPr>
            <w:r>
              <w:t xml:space="preserve">[38]</w:t>
            </w:r>
          </w:p>
        </w:tc>
        <w:tc>
          <w:tcPr/>
          <w:p>
            <w:pPr>
              <w:pStyle w:val="Compact"/>
            </w:pPr>
            <w:r>
              <w:t xml:space="preserve">L5 core readout</w:t>
            </w:r>
          </w:p>
        </w:tc>
      </w:tr>
      <w:tr>
        <w:tc>
          <w:tcPr/>
          <w:p>
            <w:pPr>
              <w:pStyle w:val="Compact"/>
            </w:pPr>
            <w:r>
              <w:t xml:space="preserve">ERCC1 rs11615</w:t>
            </w:r>
          </w:p>
        </w:tc>
        <w:tc>
          <w:tcPr/>
          <w:p>
            <w:pPr>
              <w:pStyle w:val="Compact"/>
            </w:pPr>
            <w:r>
              <w:t xml:space="preserve">Variant</w:t>
            </w:r>
          </w:p>
        </w:tc>
        <w:tc>
          <w:tcPr/>
          <w:p>
            <w:pPr>
              <w:pStyle w:val="Compact"/>
            </w:pPr>
            <w:r>
              <w:t xml:space="preserve">Associated with OS after platinum chemotherapy; XPA, XPD, XPG, XRCC1, and XRCC3 associated with treatment outcomes</w:t>
            </w:r>
          </w:p>
        </w:tc>
        <w:tc>
          <w:tcPr/>
          <w:p>
            <w:pPr>
              <w:pStyle w:val="Compact"/>
            </w:pPr>
            <w:r>
              <w:t xml:space="preserve">[39]</w:t>
            </w:r>
          </w:p>
        </w:tc>
        <w:tc>
          <w:tcPr/>
          <w:p>
            <w:pPr>
              <w:pStyle w:val="Compact"/>
            </w:pPr>
            <w:r>
              <w:t xml:space="preserve">L5 readout</w:t>
            </w:r>
          </w:p>
        </w:tc>
      </w:tr>
      <w:tr>
        <w:tc>
          <w:tcPr/>
          <w:p>
            <w:pPr>
              <w:pStyle w:val="Compact"/>
            </w:pPr>
            <w:r>
              <w:t xml:space="preserve">OGG1 Cys326</w:t>
            </w:r>
          </w:p>
        </w:tc>
        <w:tc>
          <w:tcPr/>
          <w:p>
            <w:pPr>
              <w:pStyle w:val="Compact"/>
            </w:pPr>
            <w:r>
              <w:t xml:space="preserve">Repair decreased</w:t>
            </w:r>
          </w:p>
        </w:tc>
        <w:tc>
          <w:tcPr/>
          <w:p>
            <w:pPr>
              <w:pStyle w:val="Compact"/>
            </w:pPr>
            <w:r>
              <w:t xml:space="preserve">Cys326 allele more frequent in NSCLC; Cys carriers have lower 8-oxoG incision activity and higher 8-oxodG</w:t>
            </w:r>
          </w:p>
        </w:tc>
        <w:tc>
          <w:tcPr/>
          <w:p>
            <w:pPr>
              <w:pStyle w:val="Compact"/>
            </w:pPr>
            <w:r>
              <w:t xml:space="preserve">[40]</w:t>
            </w:r>
          </w:p>
        </w:tc>
        <w:tc>
          <w:tcPr/>
          <w:p>
            <w:pPr>
              <w:pStyle w:val="Compact"/>
            </w:pPr>
            <w:r>
              <w:t xml:space="preserve">L5 readout</w:t>
            </w:r>
          </w:p>
        </w:tc>
      </w:tr>
      <w:tr>
        <w:tc>
          <w:tcPr/>
          <w:p>
            <w:pPr>
              <w:pStyle w:val="Compact"/>
            </w:pPr>
            <w:r>
              <w:t xml:space="preserve">OGG1 Ser326Cys</w:t>
            </w:r>
          </w:p>
        </w:tc>
        <w:tc>
          <w:tcPr/>
          <w:p>
            <w:pPr>
              <w:pStyle w:val="Compact"/>
            </w:pPr>
            <w:r>
              <w:t xml:space="preserve">Risk increased</w:t>
            </w:r>
          </w:p>
        </w:tc>
        <w:tc>
          <w:tcPr/>
          <w:p>
            <w:pPr>
              <w:pStyle w:val="Compact"/>
            </w:pPr>
            <w:r>
              <w:t xml:space="preserve">109 studies; Cys/Cys versus Ser/Ser OR 1.202 (1.105-1.308); lung-cancer subgroup positive</w:t>
            </w:r>
          </w:p>
        </w:tc>
        <w:tc>
          <w:tcPr/>
          <w:p>
            <w:pPr>
              <w:pStyle w:val="Compact"/>
            </w:pPr>
            <w:r>
              <w:t xml:space="preserve">[41]</w:t>
            </w:r>
          </w:p>
        </w:tc>
        <w:tc>
          <w:tcPr/>
          <w:p>
            <w:pPr>
              <w:pStyle w:val="Compact"/>
            </w:pPr>
            <w:r>
              <w:t xml:space="preserve">L5 readout</w:t>
            </w:r>
          </w:p>
        </w:tc>
      </w:tr>
      <w:tr>
        <w:tc>
          <w:tcPr/>
          <w:p>
            <w:pPr>
              <w:pStyle w:val="Compact"/>
            </w:pPr>
            <w:r>
              <w:t xml:space="preserve">OGG1 Ser326Cys</w:t>
            </w:r>
          </w:p>
        </w:tc>
        <w:tc>
          <w:tcPr/>
          <w:p>
            <w:pPr>
              <w:pStyle w:val="Compact"/>
            </w:pPr>
            <w:r>
              <w:t xml:space="preserve">No association</w:t>
            </w:r>
          </w:p>
        </w:tc>
        <w:tc>
          <w:tcPr/>
          <w:p>
            <w:pPr>
              <w:pStyle w:val="Compact"/>
            </w:pPr>
            <w:r>
              <w:t xml:space="preserve">30 studies, 10,327 cases and 12,148 controls; no association in any genetic model</w:t>
            </w:r>
          </w:p>
        </w:tc>
        <w:tc>
          <w:tcPr/>
          <w:p>
            <w:pPr>
              <w:pStyle w:val="Compact"/>
            </w:pPr>
            <w:r>
              <w:t xml:space="preserve">[42]</w:t>
            </w:r>
          </w:p>
        </w:tc>
        <w:tc>
          <w:tcPr/>
          <w:p>
            <w:pPr>
              <w:pStyle w:val="Compact"/>
            </w:pPr>
            <w:r>
              <w:t xml:space="preserve">L5 counterexample</w:t>
            </w:r>
          </w:p>
        </w:tc>
      </w:tr>
      <w:tr>
        <w:tc>
          <w:tcPr/>
          <w:p>
            <w:pPr>
              <w:pStyle w:val="Compact"/>
            </w:pPr>
            <w:r>
              <w:t xml:space="preserve">hOGG1 expression</w:t>
            </w:r>
          </w:p>
        </w:tc>
        <w:tc>
          <w:tcPr/>
          <w:p>
            <w:pPr>
              <w:pStyle w:val="Compact"/>
            </w:pPr>
            <w:r>
              <w:t xml:space="preserve">Increased</w:t>
            </w:r>
          </w:p>
        </w:tc>
        <w:tc>
          <w:tcPr/>
          <w:p>
            <w:pPr>
              <w:pStyle w:val="Compact"/>
            </w:pPr>
            <w:r>
              <w:t xml:space="preserve">182 NSCLC cases; C/C genotype OR 2.2 (1.27-4.52); high expression associated with lower three-year survival</w:t>
            </w:r>
          </w:p>
        </w:tc>
        <w:tc>
          <w:tcPr/>
          <w:p>
            <w:pPr>
              <w:pStyle w:val="Compact"/>
            </w:pPr>
            <w:r>
              <w:t xml:space="preserve">[43]</w:t>
            </w:r>
          </w:p>
        </w:tc>
        <w:tc>
          <w:tcPr/>
          <w:p>
            <w:pPr>
              <w:pStyle w:val="Compact"/>
            </w:pPr>
            <w:r>
              <w:t xml:space="preserve">L5 readout</w:t>
            </w:r>
          </w:p>
        </w:tc>
      </w:tr>
    </w:tbl>
    <w:bookmarkEnd w:id="19"/>
    <w:bookmarkStart w:id="20" w:name="l6-mutation-accumulation-state"/>
    <w:p>
      <w:pPr>
        <w:pStyle w:val="Heading3"/>
      </w:pPr>
      <w:r>
        <w:t xml:space="preserve">3.6 L6 mutation-accumulation state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Readout</w:t>
            </w:r>
          </w:p>
        </w:tc>
        <w:tc>
          <w:tcPr/>
          <w:p>
            <w:pPr>
              <w:pStyle w:val="Compact"/>
            </w:pPr>
            <w:r>
              <w:t xml:space="preserve">Direction</w:t>
            </w:r>
          </w:p>
        </w:tc>
        <w:tc>
          <w:tcPr/>
          <w:p>
            <w:pPr>
              <w:pStyle w:val="Compact"/>
            </w:pPr>
            <w:r>
              <w:t xml:space="preserve">Effect size</w:t>
            </w:r>
          </w:p>
        </w:tc>
        <w:tc>
          <w:tcPr/>
          <w:p>
            <w:pPr>
              <w:pStyle w:val="Compact"/>
            </w:pPr>
            <w:r>
              <w:t xml:space="preserve">Source</w:t>
            </w:r>
          </w:p>
        </w:tc>
        <w:tc>
          <w:tcPr/>
          <w:p>
            <w:pPr>
              <w:pStyle w:val="Compact"/>
            </w:pPr>
            <w:r>
              <w:t xml:space="preserve">Model role</w:t>
            </w:r>
          </w:p>
        </w:tc>
      </w:tr>
      <w:tr>
        <w:tc>
          <w:tcPr/>
          <w:p>
            <w:pPr>
              <w:pStyle w:val="Compact"/>
            </w:pPr>
            <w:r>
              <w:t xml:space="preserve">Driver mutations in normal bronchial epithelium</w:t>
            </w:r>
          </w:p>
        </w:tc>
        <w:tc>
          <w:tcPr/>
          <w:p>
            <w:pPr>
              <w:pStyle w:val="Compact"/>
            </w:pPr>
            <w:r>
              <w:t xml:space="preserve">Increased</w:t>
            </w:r>
          </w:p>
        </w:tc>
        <w:tc>
          <w:tcPr/>
          <w:p>
            <w:pPr>
              <w:pStyle w:val="Compact"/>
            </w:pPr>
            <w:r>
              <w:t xml:space="preserve">4-14% of cells in middle-aged never smokers; at least 25% in current smokers; 0-6% of cells with two or three drivers</w:t>
            </w:r>
          </w:p>
        </w:tc>
        <w:tc>
          <w:tcPr/>
          <w:p>
            <w:pPr>
              <w:pStyle w:val="Compact"/>
            </w:pPr>
            <w:r>
              <w:t xml:space="preserve">[44]</w:t>
            </w:r>
          </w:p>
        </w:tc>
        <w:tc>
          <w:tcPr/>
          <w:p>
            <w:pPr>
              <w:pStyle w:val="Compact"/>
            </w:pPr>
            <w:r>
              <w:t xml:space="preserve">L6 readout</w:t>
            </w:r>
          </w:p>
        </w:tc>
      </w:tr>
      <w:tr>
        <w:tc>
          <w:tcPr/>
          <w:p>
            <w:pPr>
              <w:pStyle w:val="Compact"/>
            </w:pPr>
            <w:r>
              <w:t xml:space="preserve">Smoking mutational burden</w:t>
            </w:r>
          </w:p>
        </w:tc>
        <w:tc>
          <w:tcPr/>
          <w:p>
            <w:pPr>
              <w:pStyle w:val="Compact"/>
            </w:pPr>
            <w:r>
              <w:t xml:space="preserve">Increased</w:t>
            </w:r>
          </w:p>
        </w:tc>
        <w:tc>
          <w:tcPr/>
          <w:p>
            <w:pPr>
              <w:pStyle w:val="Compact"/>
            </w:pPr>
            <w:r>
              <w:t xml:space="preserve">Smoking adds 1,000-10,000 mutations per cell; normal cells replenish after quitting</w:t>
            </w:r>
          </w:p>
        </w:tc>
        <w:tc>
          <w:tcPr/>
          <w:p>
            <w:pPr>
              <w:pStyle w:val="Compact"/>
            </w:pPr>
            <w:r>
              <w:t xml:space="preserve">[44]</w:t>
            </w:r>
          </w:p>
        </w:tc>
        <w:tc>
          <w:tcPr/>
          <w:p>
            <w:pPr>
              <w:pStyle w:val="Compact"/>
            </w:pPr>
            <w:r>
              <w:t xml:space="preserve">L6 readout and cessation validation</w:t>
            </w:r>
          </w:p>
        </w:tc>
      </w:tr>
      <w:tr>
        <w:tc>
          <w:tcPr/>
          <w:p>
            <w:pPr>
              <w:pStyle w:val="Compact"/>
            </w:pPr>
            <w:r>
              <w:t xml:space="preserve">Severe dysplasia/CIS progression</w:t>
            </w:r>
          </w:p>
        </w:tc>
        <w:tc>
          <w:tcPr/>
          <w:p>
            <w:pPr>
              <w:pStyle w:val="Compact"/>
            </w:pPr>
            <w:r>
              <w:t xml:space="preserve">Progression</w:t>
            </w:r>
          </w:p>
        </w:tc>
        <w:tc>
          <w:tcPr/>
          <w:p>
            <w:pPr>
              <w:pStyle w:val="Compact"/>
            </w:pPr>
            <w:r>
              <w:t xml:space="preserve">17% at one year, 63% at three years; 11 of 31 CIS progressed, 17 stable or regressed</w:t>
            </w:r>
          </w:p>
        </w:tc>
        <w:tc>
          <w:tcPr/>
          <w:p>
            <w:pPr>
              <w:pStyle w:val="Compact"/>
            </w:pPr>
            <w:r>
              <w:t xml:space="preserve">[45]</w:t>
            </w:r>
          </w:p>
        </w:tc>
        <w:tc>
          <w:tcPr/>
          <w:p>
            <w:pPr>
              <w:pStyle w:val="Compact"/>
            </w:pPr>
            <w:r>
              <w:t xml:space="preserve">q6 prior</w:t>
            </w:r>
          </w:p>
        </w:tc>
      </w:tr>
      <w:tr>
        <w:tc>
          <w:tcPr/>
          <w:p>
            <w:pPr>
              <w:pStyle w:val="Compact"/>
            </w:pPr>
            <w:r>
              <w:t xml:space="preserve">Bronchial preinvasive natural history</w:t>
            </w:r>
          </w:p>
        </w:tc>
        <w:tc>
          <w:tcPr/>
          <w:p>
            <w:pPr>
              <w:pStyle w:val="Compact"/>
            </w:pPr>
            <w:r>
              <w:t xml:space="preserve">Heterogeneous</w:t>
            </w:r>
          </w:p>
        </w:tc>
        <w:tc>
          <w:tcPr/>
          <w:p>
            <w:pPr>
              <w:pStyle w:val="Compact"/>
            </w:pPr>
            <w:r>
              <w:t xml:space="preserve">Stepwise model evidence weak; field carcinogenesis strong; high-grade lesions are risk markers</w:t>
            </w:r>
          </w:p>
        </w:tc>
        <w:tc>
          <w:tcPr/>
          <w:p>
            <w:pPr>
              <w:pStyle w:val="Compact"/>
            </w:pPr>
            <w:r>
              <w:t xml:space="preserve">[46]</w:t>
            </w:r>
          </w:p>
        </w:tc>
        <w:tc>
          <w:tcPr/>
          <w:p>
            <w:pPr>
              <w:pStyle w:val="Compact"/>
            </w:pPr>
            <w:r>
              <w:t xml:space="preserve">L6 structural prior</w:t>
            </w:r>
          </w:p>
        </w:tc>
      </w:tr>
      <w:tr>
        <w:tc>
          <w:tcPr/>
          <w:p>
            <w:pPr>
              <w:pStyle w:val="Compact"/>
            </w:pPr>
            <w:r>
              <w:t xml:space="preserve">Subsolid nodule progression</w:t>
            </w:r>
          </w:p>
        </w:tc>
        <w:tc>
          <w:tcPr/>
          <w:p>
            <w:pPr>
              <w:pStyle w:val="Compact"/>
            </w:pPr>
            <w:r>
              <w:t xml:space="preserve">Progression</w:t>
            </w:r>
          </w:p>
        </w:tc>
        <w:tc>
          <w:tcPr/>
          <w:p>
            <w:pPr>
              <w:pStyle w:val="Compact"/>
            </w:pPr>
            <w:r>
              <w:t xml:space="preserve">Among 1,046 pure ground-glass nodules, 1.2% became heterogeneous and 5.4% became part-solid; 19.8% of 81 heterogeneous nodules became part-solid; invasive cancer only in part-solid lesions, 1% of all 1,229 nodules</w:t>
            </w:r>
          </w:p>
        </w:tc>
        <w:tc>
          <w:tcPr/>
          <w:p>
            <w:pPr>
              <w:pStyle w:val="Compact"/>
            </w:pPr>
            <w:r>
              <w:t xml:space="preserve">[47]</w:t>
            </w:r>
          </w:p>
        </w:tc>
        <w:tc>
          <w:tcPr/>
          <w:p>
            <w:pPr>
              <w:pStyle w:val="Compact"/>
            </w:pPr>
            <w:r>
              <w:t xml:space="preserve">q6 prior</w:t>
            </w:r>
          </w:p>
        </w:tc>
      </w:tr>
      <w:tr>
        <w:tc>
          <w:tcPr/>
          <w:p>
            <w:pPr>
              <w:pStyle w:val="Compact"/>
            </w:pPr>
            <w:r>
              <w:t xml:space="preserve">LUAD stepwise progression</w:t>
            </w:r>
          </w:p>
        </w:tc>
        <w:tc>
          <w:tcPr/>
          <w:p>
            <w:pPr>
              <w:pStyle w:val="Compact"/>
            </w:pPr>
            <w:r>
              <w:t xml:space="preserve">Progression</w:t>
            </w:r>
          </w:p>
        </w:tc>
        <w:tc>
          <w:tcPr/>
          <w:p>
            <w:pPr>
              <w:pStyle w:val="Compact"/>
            </w:pPr>
            <w:r>
              <w:t xml:space="preserve">1,008 cases; TP53, RB1, MGA, KEAP1, and STK11 mutation frequencies increase with stage; invasive samples have higher genomic instability; MAP2K1 E102-I103 deletion seen in preinvasive lesions</w:t>
            </w:r>
          </w:p>
        </w:tc>
        <w:tc>
          <w:tcPr/>
          <w:p>
            <w:pPr>
              <w:pStyle w:val="Compact"/>
            </w:pPr>
            <w:r>
              <w:t xml:space="preserve">[48]</w:t>
            </w:r>
          </w:p>
        </w:tc>
        <w:tc>
          <w:tcPr/>
          <w:p>
            <w:pPr>
              <w:pStyle w:val="Compact"/>
            </w:pPr>
            <w:r>
              <w:t xml:space="preserve">L6 readout</w:t>
            </w:r>
          </w:p>
        </w:tc>
      </w:tr>
      <w:tr>
        <w:tc>
          <w:tcPr/>
          <w:p>
            <w:pPr>
              <w:pStyle w:val="Compact"/>
            </w:pPr>
            <w:r>
              <w:t xml:space="preserve">Preinvasive LUAD genome</w:t>
            </w:r>
          </w:p>
        </w:tc>
        <w:tc>
          <w:tcPr/>
          <w:p>
            <w:pPr>
              <w:pStyle w:val="Compact"/>
            </w:pPr>
            <w:r>
              <w:t xml:space="preserve">Progression</w:t>
            </w:r>
          </w:p>
        </w:tc>
        <w:tc>
          <w:tcPr/>
          <w:p>
            <w:pPr>
              <w:pStyle w:val="Compact"/>
            </w:pPr>
            <w:r>
              <w:t xml:space="preserve">98 precursor lesions plus 99 invasive; TP53 mutation, arm-level CNA, and HLA LOH increase with progression; 6p CNA correlated with immune infiltration</w:t>
            </w:r>
          </w:p>
        </w:tc>
        <w:tc>
          <w:tcPr/>
          <w:p>
            <w:pPr>
              <w:pStyle w:val="Compact"/>
            </w:pPr>
            <w:r>
              <w:t xml:space="preserve">[49]</w:t>
            </w:r>
          </w:p>
        </w:tc>
        <w:tc>
          <w:tcPr/>
          <w:p>
            <w:pPr>
              <w:pStyle w:val="Compact"/>
            </w:pPr>
            <w:r>
              <w:t xml:space="preserve">L6 readout</w:t>
            </w:r>
          </w:p>
        </w:tc>
      </w:tr>
      <w:tr>
        <w:tc>
          <w:tcPr/>
          <w:p>
            <w:pPr>
              <w:pStyle w:val="Compact"/>
            </w:pPr>
            <w:r>
              <w:t xml:space="preserve">Methylation evolution</w:t>
            </w:r>
          </w:p>
        </w:tc>
        <w:tc>
          <w:tcPr/>
          <w:p>
            <w:pPr>
              <w:pStyle w:val="Compact"/>
            </w:pPr>
            <w:r>
              <w:t xml:space="preserve">Progression</w:t>
            </w:r>
          </w:p>
        </w:tc>
        <w:tc>
          <w:tcPr/>
          <w:p>
            <w:pPr>
              <w:pStyle w:val="Compact"/>
            </w:pPr>
            <w:r>
              <w:t xml:space="preserve">Methylation aberrations increase gradually; Treg/CD8 ratio rises in later stages; global hypomethylation correlated with mutation burden, CNA burden, and AI burden</w:t>
            </w:r>
          </w:p>
        </w:tc>
        <w:tc>
          <w:tcPr/>
          <w:p>
            <w:pPr>
              <w:pStyle w:val="Compact"/>
            </w:pPr>
            <w:r>
              <w:t xml:space="preserve">[50]</w:t>
            </w:r>
          </w:p>
        </w:tc>
        <w:tc>
          <w:tcPr/>
          <w:p>
            <w:pPr>
              <w:pStyle w:val="Compact"/>
            </w:pPr>
            <w:r>
              <w:t xml:space="preserve">L6 readout</w:t>
            </w:r>
          </w:p>
        </w:tc>
      </w:tr>
      <w:tr>
        <w:tc>
          <w:tcPr/>
          <w:p>
            <w:pPr>
              <w:pStyle w:val="Compact"/>
            </w:pPr>
            <w:r>
              <w:t xml:space="preserve">Small pure ground-glass nodule growth</w:t>
            </w:r>
          </w:p>
        </w:tc>
        <w:tc>
          <w:tcPr/>
          <w:p>
            <w:pPr>
              <w:pStyle w:val="Compact"/>
            </w:pPr>
            <w:r>
              <w:t xml:space="preserve">Progression</w:t>
            </w:r>
          </w:p>
        </w:tc>
        <w:tc>
          <w:tcPr/>
          <w:p>
            <w:pPr>
              <w:pStyle w:val="Compact"/>
            </w:pPr>
            <w:r>
              <w:t xml:space="preserve">910 patients, 1,206 nodules; 8.6% grew over five years; bubble lucency HR 2.39, vessel sign 2.98, family history 2.83</w:t>
            </w:r>
          </w:p>
        </w:tc>
        <w:tc>
          <w:tcPr/>
          <w:p>
            <w:pPr>
              <w:pStyle w:val="Compact"/>
            </w:pPr>
            <w:r>
              <w:t xml:space="preserve">[51]</w:t>
            </w:r>
          </w:p>
        </w:tc>
        <w:tc>
          <w:tcPr/>
          <w:p>
            <w:pPr>
              <w:pStyle w:val="Compact"/>
            </w:pPr>
            <w:r>
              <w:t xml:space="preserve">q6 prior</w:t>
            </w:r>
          </w:p>
        </w:tc>
      </w:tr>
      <w:tr>
        <w:tc>
          <w:tcPr/>
          <w:p>
            <w:pPr>
              <w:pStyle w:val="Compact"/>
            </w:pPr>
            <w:r>
              <w:t xml:space="preserve">AIS/MIA lead time</w:t>
            </w:r>
          </w:p>
        </w:tc>
        <w:tc>
          <w:tcPr/>
          <w:p>
            <w:pPr>
              <w:pStyle w:val="Compact"/>
            </w:pPr>
            <w:r>
              <w:t xml:space="preserve">Progression</w:t>
            </w:r>
          </w:p>
        </w:tc>
        <w:tc>
          <w:tcPr/>
          <w:p>
            <w:pPr>
              <w:pStyle w:val="Compact"/>
            </w:pPr>
            <w:r>
              <w:t xml:space="preserve">124 AIS/MIA versus 1,148 invasive cancers; AIS/MIA had no recurrence or death at five years; invasive five-year DSS 73.5%; lead time 4.6 years; adjusted gain 10.8 life-years</w:t>
            </w:r>
          </w:p>
        </w:tc>
        <w:tc>
          <w:tcPr/>
          <w:p>
            <w:pPr>
              <w:pStyle w:val="Compact"/>
            </w:pPr>
            <w:r>
              <w:t xml:space="preserve">[52]</w:t>
            </w:r>
          </w:p>
        </w:tc>
        <w:tc>
          <w:tcPr/>
          <w:p>
            <w:pPr>
              <w:pStyle w:val="Compact"/>
            </w:pPr>
            <w:r>
              <w:t xml:space="preserve">L6-to-L7 timescale</w:t>
            </w:r>
          </w:p>
        </w:tc>
      </w:tr>
      <w:tr>
        <w:tc>
          <w:tcPr/>
          <w:p>
            <w:pPr>
              <w:pStyle w:val="Compact"/>
            </w:pPr>
            <w:r>
              <w:t xml:space="preserve">Bronchial preinvasive prevalence in smokers</w:t>
            </w:r>
          </w:p>
        </w:tc>
        <w:tc>
          <w:tcPr/>
          <w:p>
            <w:pPr>
              <w:pStyle w:val="Compact"/>
            </w:pPr>
            <w:r>
              <w:t xml:space="preserve">Common</w:t>
            </w:r>
          </w:p>
        </w:tc>
        <w:tc>
          <w:tcPr/>
          <w:p>
            <w:pPr>
              <w:pStyle w:val="Compact"/>
            </w:pPr>
            <w:r>
              <w:t xml:space="preserve">156 male smokers: normal 23.7%, hyperplasia 16.7%, metaplasia 33.3%, dysplasia 25.0%, CIS 1.3%; lung cancer during follow-up 19.9%</w:t>
            </w:r>
          </w:p>
        </w:tc>
        <w:tc>
          <w:tcPr/>
          <w:p>
            <w:pPr>
              <w:pStyle w:val="Compact"/>
            </w:pPr>
            <w:r>
              <w:t xml:space="preserve">[53]</w:t>
            </w:r>
          </w:p>
        </w:tc>
        <w:tc>
          <w:tcPr/>
          <w:p>
            <w:pPr>
              <w:pStyle w:val="Compact"/>
            </w:pPr>
            <w:r>
              <w:t xml:space="preserve">L6 prevalence prior</w:t>
            </w:r>
          </w:p>
        </w:tc>
      </w:tr>
      <w:tr>
        <w:tc>
          <w:tcPr/>
          <w:p>
            <w:pPr>
              <w:pStyle w:val="Compact"/>
            </w:pPr>
            <w:r>
              <w:t xml:space="preserve">CIS prevalence and outcome</w:t>
            </w:r>
          </w:p>
        </w:tc>
        <w:tc>
          <w:tcPr/>
          <w:p>
            <w:pPr>
              <w:pStyle w:val="Compact"/>
            </w:pPr>
            <w:r>
              <w:t xml:space="preserve">Heterogeneous</w:t>
            </w:r>
          </w:p>
        </w:tc>
        <w:tc>
          <w:tcPr/>
          <w:p>
            <w:pPr>
              <w:pStyle w:val="Compact"/>
            </w:pPr>
            <w:r>
              <w:t xml:space="preserve">31 CIS cases; 22 with concurrent invasive cancer; 9 isolated, 1 progressed at 40 months, 7 regressed or downgraded</w:t>
            </w:r>
          </w:p>
        </w:tc>
        <w:tc>
          <w:tcPr/>
          <w:p>
            <w:pPr>
              <w:pStyle w:val="Compact"/>
            </w:pPr>
            <w:r>
              <w:t xml:space="preserve">[54]</w:t>
            </w:r>
          </w:p>
        </w:tc>
        <w:tc>
          <w:tcPr/>
          <w:p>
            <w:pPr>
              <w:pStyle w:val="Compact"/>
            </w:pPr>
            <w:r>
              <w:t xml:space="preserve">q6 prior</w:t>
            </w:r>
          </w:p>
        </w:tc>
      </w:tr>
      <w:tr>
        <w:tc>
          <w:tcPr/>
          <w:p>
            <w:pPr>
              <w:pStyle w:val="Compact"/>
            </w:pPr>
            <w:r>
              <w:t xml:space="preserve">Long-term preinvasive follow-up</w:t>
            </w:r>
          </w:p>
        </w:tc>
        <w:tc>
          <w:tcPr/>
          <w:p>
            <w:pPr>
              <w:pStyle w:val="Compact"/>
            </w:pPr>
            <w:r>
              <w:t xml:space="preserve">Risk marker</w:t>
            </w:r>
          </w:p>
        </w:tc>
        <w:tc>
          <w:tcPr/>
          <w:p>
            <w:pPr>
              <w:pStyle w:val="Compact"/>
            </w:pPr>
            <w:r>
              <w:t xml:space="preserve">164 cases, median follow-up 30 months, 61 lung cancers; 59% arose away from the original lesion; high-grade lesions more likely to progress</w:t>
            </w:r>
          </w:p>
        </w:tc>
        <w:tc>
          <w:tcPr/>
          <w:p>
            <w:pPr>
              <w:pStyle w:val="Compact"/>
            </w:pPr>
            <w:r>
              <w:t xml:space="preserve">[55]</w:t>
            </w:r>
          </w:p>
        </w:tc>
        <w:tc>
          <w:tcPr/>
          <w:p>
            <w:pPr>
              <w:pStyle w:val="Compact"/>
            </w:pPr>
            <w:r>
              <w:t xml:space="preserve">L6-to-L7 and field effect</w:t>
            </w:r>
          </w:p>
        </w:tc>
      </w:tr>
      <w:tr>
        <w:tc>
          <w:tcPr/>
          <w:p>
            <w:pPr>
              <w:pStyle w:val="Compact"/>
            </w:pPr>
            <w:r>
              <w:t xml:space="preserve">FDG-PET prediction of progression</w:t>
            </w:r>
          </w:p>
        </w:tc>
        <w:tc>
          <w:tcPr/>
          <w:p>
            <w:pPr>
              <w:pStyle w:val="Compact"/>
            </w:pPr>
            <w:r>
              <w:t xml:space="preserve">Risk stratification</w:t>
            </w:r>
          </w:p>
        </w:tc>
        <w:tc>
          <w:tcPr/>
          <w:p>
            <w:pPr>
              <w:pStyle w:val="Compact"/>
            </w:pPr>
            <w:r>
              <w:t xml:space="preserve">40 cases; FDG-positive 76.5% progressed, median 5 months; FDG-negative 26% progressed, median 34 months</w:t>
            </w:r>
          </w:p>
        </w:tc>
        <w:tc>
          <w:tcPr/>
          <w:p>
            <w:pPr>
              <w:pStyle w:val="Compact"/>
            </w:pPr>
            <w:r>
              <w:t xml:space="preserve">[56]</w:t>
            </w:r>
          </w:p>
        </w:tc>
        <w:tc>
          <w:tcPr/>
          <w:p>
            <w:pPr>
              <w:pStyle w:val="Compact"/>
            </w:pPr>
            <w:r>
              <w:t xml:space="preserve">q6 risk covariate</w:t>
            </w:r>
          </w:p>
        </w:tc>
      </w:tr>
      <w:tr>
        <w:tc>
          <w:tcPr/>
          <w:p>
            <w:pPr>
              <w:pStyle w:val="Compact"/>
            </w:pPr>
            <w:r>
              <w:t xml:space="preserve">High-grade preinvasive treatment</w:t>
            </w:r>
          </w:p>
        </w:tc>
        <w:tc>
          <w:tcPr/>
          <w:p>
            <w:pPr>
              <w:pStyle w:val="Compact"/>
            </w:pPr>
            <w:r>
              <w:t xml:space="preserve">Intervenable</w:t>
            </w:r>
          </w:p>
        </w:tc>
        <w:tc>
          <w:tcPr/>
          <w:p>
            <w:pPr>
              <w:pStyle w:val="Compact"/>
            </w:pPr>
            <w:r>
              <w:t xml:space="preserve">85 cases; primary treatment progression HR 0.39 (0.21-0.73); PFS 71 versus 38 months</w:t>
            </w:r>
          </w:p>
        </w:tc>
        <w:tc>
          <w:tcPr/>
          <w:p>
            <w:pPr>
              <w:pStyle w:val="Compact"/>
            </w:pPr>
            <w:r>
              <w:t xml:space="preserve">[57]</w:t>
            </w:r>
          </w:p>
        </w:tc>
        <w:tc>
          <w:tcPr/>
          <w:p>
            <w:pPr>
              <w:pStyle w:val="Compact"/>
            </w:pPr>
            <w:r>
              <w:t xml:space="preserve">Intervention simulation</w:t>
            </w:r>
          </w:p>
        </w:tc>
      </w:tr>
    </w:tbl>
    <w:bookmarkEnd w:id="20"/>
    <w:bookmarkStart w:id="21" w:name="l7-clinical-state"/>
    <w:p>
      <w:pPr>
        <w:pStyle w:val="Heading3"/>
      </w:pPr>
      <w:r>
        <w:t xml:space="preserve">3.7 L7 clinical state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Readout</w:t>
            </w:r>
          </w:p>
        </w:tc>
        <w:tc>
          <w:tcPr/>
          <w:p>
            <w:pPr>
              <w:pStyle w:val="Compact"/>
            </w:pPr>
            <w:r>
              <w:t xml:space="preserve">Value</w:t>
            </w:r>
          </w:p>
        </w:tc>
        <w:tc>
          <w:tcPr/>
          <w:p>
            <w:pPr>
              <w:pStyle w:val="Compact"/>
            </w:pPr>
            <w:r>
              <w:t xml:space="preserve">Source</w:t>
            </w:r>
          </w:p>
        </w:tc>
      </w:tr>
      <w:tr>
        <w:tc>
          <w:tcPr/>
          <w:p>
            <w:pPr>
              <w:pStyle w:val="Compact"/>
            </w:pPr>
            <w:r>
              <w:t xml:space="preserve">Age-adjusted incidence</w:t>
            </w:r>
          </w:p>
        </w:tc>
        <w:tc>
          <w:tcPr/>
          <w:p>
            <w:pPr>
              <w:pStyle w:val="Compact"/>
            </w:pPr>
            <w:r>
              <w:t xml:space="preserve">47.2 per 100,000 person-years</w:t>
            </w:r>
          </w:p>
        </w:tc>
        <w:tc>
          <w:tcPr/>
          <w:p>
            <w:pPr>
              <w:pStyle w:val="Compact"/>
            </w:pPr>
            <w:r>
              <w:t xml:space="preserve">[1]</w:t>
            </w:r>
          </w:p>
        </w:tc>
      </w:tr>
      <w:tr>
        <w:tc>
          <w:tcPr/>
          <w:p>
            <w:pPr>
              <w:pStyle w:val="Compact"/>
            </w:pPr>
            <w:r>
              <w:t xml:space="preserve">Age-adjusted mortality</w:t>
            </w:r>
          </w:p>
        </w:tc>
        <w:tc>
          <w:tcPr/>
          <w:p>
            <w:pPr>
              <w:pStyle w:val="Compact"/>
            </w:pPr>
            <w:r>
              <w:t xml:space="preserve">30.2 per 100,000 person-years</w:t>
            </w:r>
          </w:p>
        </w:tc>
        <w:tc>
          <w:tcPr/>
          <w:p>
            <w:pPr>
              <w:pStyle w:val="Compact"/>
            </w:pPr>
            <w:r>
              <w:t xml:space="preserve">[1]</w:t>
            </w:r>
          </w:p>
        </w:tc>
      </w:tr>
      <w:tr>
        <w:tc>
          <w:tcPr/>
          <w:p>
            <w:pPr>
              <w:pStyle w:val="Compact"/>
            </w:pPr>
            <w:r>
              <w:t xml:space="preserve">Five-year relative survival</w:t>
            </w:r>
          </w:p>
        </w:tc>
        <w:tc>
          <w:tcPr/>
          <w:p>
            <w:pPr>
              <w:pStyle w:val="Compact"/>
            </w:pPr>
            <w:r>
              <w:t xml:space="preserve">29.5%</w:t>
            </w:r>
          </w:p>
        </w:tc>
        <w:tc>
          <w:tcPr/>
          <w:p>
            <w:pPr>
              <w:pStyle w:val="Compact"/>
            </w:pPr>
            <w:r>
              <w:t xml:space="preserve">[1]</w:t>
            </w:r>
          </w:p>
        </w:tc>
      </w:tr>
      <w:tr>
        <w:tc>
          <w:tcPr/>
          <w:p>
            <w:pPr>
              <w:pStyle w:val="Compact"/>
            </w:pPr>
            <w:r>
              <w:t xml:space="preserve">Stage distribution</w:t>
            </w:r>
          </w:p>
        </w:tc>
        <w:tc>
          <w:tcPr/>
          <w:p>
            <w:pPr>
              <w:pStyle w:val="Compact"/>
            </w:pPr>
            <w:r>
              <w:t xml:space="preserve">Localized 24%, regional 21%, distant 51%, unknown 4%</w:t>
            </w:r>
          </w:p>
        </w:tc>
        <w:tc>
          <w:tcPr/>
          <w:p>
            <w:pPr>
              <w:pStyle w:val="Compact"/>
            </w:pPr>
            <w:r>
              <w:t xml:space="preserve">[1]</w:t>
            </w:r>
          </w:p>
        </w:tc>
      </w:tr>
      <w:tr>
        <w:tc>
          <w:tcPr/>
          <w:p>
            <w:pPr>
              <w:pStyle w:val="Compact"/>
            </w:pPr>
            <w:r>
              <w:t xml:space="preserve">Stage-specific five-year survival</w:t>
            </w:r>
          </w:p>
        </w:tc>
        <w:tc>
          <w:tcPr/>
          <w:p>
            <w:pPr>
              <w:pStyle w:val="Compact"/>
            </w:pPr>
            <w:r>
              <w:t xml:space="preserve">65.5%, 38.2%, 10.5%, 17.5%</w:t>
            </w:r>
          </w:p>
        </w:tc>
        <w:tc>
          <w:tcPr/>
          <w:p>
            <w:pPr>
              <w:pStyle w:val="Compact"/>
            </w:pPr>
            <w:r>
              <w:t xml:space="preserve">[1]</w:t>
            </w:r>
          </w:p>
        </w:tc>
      </w:tr>
    </w:tbl>
    <w:bookmarkEnd w:id="21"/>
    <w:bookmarkEnd w:id="22"/>
    <w:bookmarkStart w:id="23" w:name="covariate-anchors"/>
    <w:p>
      <w:pPr>
        <w:pStyle w:val="Heading2"/>
      </w:pPr>
      <w:r>
        <w:t xml:space="preserve">4. Covariate anchors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Covariate</w:t>
            </w:r>
          </w:p>
        </w:tc>
        <w:tc>
          <w:tcPr/>
          <w:p>
            <w:pPr>
              <w:pStyle w:val="Compact"/>
            </w:pPr>
            <w:r>
              <w:t xml:space="preserve">Effect</w:t>
            </w:r>
          </w:p>
        </w:tc>
        <w:tc>
          <w:tcPr/>
          <w:p>
            <w:pPr>
              <w:pStyle w:val="Compact"/>
            </w:pPr>
            <w:r>
              <w:t xml:space="preserve">Source</w:t>
            </w:r>
          </w:p>
        </w:tc>
        <w:tc>
          <w:tcPr/>
          <w:p>
            <w:pPr>
              <w:pStyle w:val="Compact"/>
            </w:pPr>
            <w:r>
              <w:t xml:space="preserve">Model use</w:t>
            </w:r>
          </w:p>
        </w:tc>
      </w:tr>
      <w:tr>
        <w:tc>
          <w:tcPr/>
          <w:p>
            <w:pPr>
              <w:pStyle w:val="Compact"/>
            </w:pPr>
            <w:r>
              <w:t xml:space="preserve">Current smoking</w:t>
            </w:r>
          </w:p>
        </w:tc>
        <w:tc>
          <w:tcPr/>
          <w:p>
            <w:pPr>
              <w:pStyle w:val="Compact"/>
            </w:pPr>
            <w:r>
              <w:t xml:space="preserve">Continuing male smokers have 16% cumulative risk by age 75; cessation at 30/40/50/60 lowers risk to 2%/3%/6%/10%</w:t>
            </w:r>
          </w:p>
        </w:tc>
        <w:tc>
          <w:tcPr/>
          <w:p>
            <w:pPr>
              <w:pStyle w:val="Compact"/>
            </w:pPr>
            <w:r>
              <w:t xml:space="preserve">[5]</w:t>
            </w:r>
          </w:p>
        </w:tc>
        <w:tc>
          <w:tcPr/>
          <w:p>
            <w:pPr>
              <w:pStyle w:val="Compact"/>
            </w:pPr>
            <w:r>
              <w:t xml:space="preserve">Multiplicative effect on H-to-L1 and L5-to-L6</w:t>
            </w:r>
          </w:p>
        </w:tc>
      </w:tr>
      <w:tr>
        <w:tc>
          <w:tcPr/>
          <w:p>
            <w:pPr>
              <w:pStyle w:val="Compact"/>
            </w:pPr>
            <w:r>
              <w:t xml:space="preserve">Smoking attribution</w:t>
            </w:r>
          </w:p>
        </w:tc>
        <w:tc>
          <w:tcPr/>
          <w:p>
            <w:pPr>
              <w:pStyle w:val="Compact"/>
            </w:pPr>
            <w:r>
              <w:t xml:space="preserve">Almost all lung-cancer deaths are related to smoking</w:t>
            </w:r>
          </w:p>
        </w:tc>
        <w:tc>
          <w:tcPr/>
          <w:p>
            <w:pPr>
              <w:pStyle w:val="Compact"/>
            </w:pPr>
            <w:r>
              <w:t xml:space="preserve">[7]</w:t>
            </w:r>
          </w:p>
        </w:tc>
        <w:tc>
          <w:tcPr/>
          <w:p>
            <w:pPr>
              <w:pStyle w:val="Compact"/>
            </w:pPr>
            <w:r>
              <w:t xml:space="preserve">External consistency</w:t>
            </w:r>
          </w:p>
        </w:tc>
      </w:tr>
      <w:tr>
        <w:tc>
          <w:tcPr/>
          <w:p>
            <w:pPr>
              <w:pStyle w:val="Compact"/>
            </w:pPr>
            <w:r>
              <w:t xml:space="preserve">Never smokers</w:t>
            </w:r>
          </w:p>
        </w:tc>
        <w:tc>
          <w:tcPr/>
          <w:p>
            <w:pPr>
              <w:pStyle w:val="Compact"/>
            </w:pPr>
            <w:r>
              <w:t xml:space="preserve">Age-adjusted incidence similar in men and women; higher and more variable in East Asian women</w:t>
            </w:r>
          </w:p>
        </w:tc>
        <w:tc>
          <w:tcPr/>
          <w:p>
            <w:pPr>
              <w:pStyle w:val="Compact"/>
            </w:pPr>
            <w:r>
              <w:t xml:space="preserve">[6]</w:t>
            </w:r>
          </w:p>
        </w:tc>
        <w:tc>
          <w:tcPr/>
          <w:p>
            <w:pPr>
              <w:pStyle w:val="Compact"/>
            </w:pPr>
            <w:r>
              <w:t xml:space="preserve">Never-smoker baseline</w:t>
            </w:r>
          </w:p>
        </w:tc>
      </w:tr>
      <w:tr>
        <w:tc>
          <w:tcPr/>
          <w:p>
            <w:pPr>
              <w:pStyle w:val="Compact"/>
            </w:pPr>
            <w:r>
              <w:t xml:space="preserve">COPD</w:t>
            </w:r>
          </w:p>
        </w:tc>
        <w:tc>
          <w:tcPr/>
          <w:p>
            <w:pPr>
              <w:pStyle w:val="Compact"/>
            </w:pPr>
            <w:r>
              <w:t xml:space="preserve">26 cohorts, 613,373 patients; lung-cancer incidence 6.0% (5.0-6.9); current smoking OR 1.69 (1.42-2.00); emphysema OR 2.73 (2.02-3.69)</w:t>
            </w:r>
          </w:p>
        </w:tc>
        <w:tc>
          <w:tcPr/>
          <w:p>
            <w:pPr>
              <w:pStyle w:val="Compact"/>
            </w:pPr>
            <w:r>
              <w:t xml:space="preserve">[8]</w:t>
            </w:r>
          </w:p>
        </w:tc>
        <w:tc>
          <w:tcPr/>
          <w:p>
            <w:pPr>
              <w:pStyle w:val="Compact"/>
            </w:pPr>
            <w:r>
              <w:t xml:space="preserve">L3 injury covariate</w:t>
            </w:r>
          </w:p>
        </w:tc>
      </w:tr>
      <w:tr>
        <w:tc>
          <w:tcPr/>
          <w:p>
            <w:pPr>
              <w:pStyle w:val="Compact"/>
            </w:pPr>
            <w:r>
              <w:t xml:space="preserve">Dialysis/kidney failure</w:t>
            </w:r>
          </w:p>
        </w:tc>
        <w:tc>
          <w:tcPr/>
          <w:p>
            <w:pPr>
              <w:pStyle w:val="Compact"/>
            </w:pPr>
            <w:r>
              <w:t xml:space="preserve">All-site cancer mortality SMR 2.4 (2.33-2.49); excess lung-cancer deaths increased over time</w:t>
            </w:r>
          </w:p>
        </w:tc>
        <w:tc>
          <w:tcPr/>
          <w:p>
            <w:pPr>
              <w:pStyle w:val="Compact"/>
            </w:pPr>
            <w:r>
              <w:t xml:space="preserve">[9]</w:t>
            </w:r>
          </w:p>
        </w:tc>
        <w:tc>
          <w:tcPr/>
          <w:p>
            <w:pPr>
              <w:pStyle w:val="Compact"/>
            </w:pPr>
            <w:r>
              <w:t xml:space="preserve">L1 energy-state covariate</w:t>
            </w:r>
          </w:p>
        </w:tc>
      </w:tr>
      <w:tr>
        <w:tc>
          <w:tcPr/>
          <w:p>
            <w:pPr>
              <w:pStyle w:val="Compact"/>
            </w:pPr>
            <w:r>
              <w:t xml:space="preserve">Dialysis/kidney failure</w:t>
            </w:r>
          </w:p>
        </w:tc>
        <w:tc>
          <w:tcPr/>
          <w:p>
            <w:pPr>
              <w:pStyle w:val="Compact"/>
            </w:pPr>
            <w:r>
              <w:t xml:space="preserve">All-cancer SIR 1.36; lung and colorectal cancer risk increased within two years of dialysis initiation</w:t>
            </w:r>
          </w:p>
        </w:tc>
        <w:tc>
          <w:tcPr/>
          <w:p>
            <w:pPr>
              <w:pStyle w:val="Compact"/>
            </w:pPr>
            <w:r>
              <w:t xml:space="preserve">[10]</w:t>
            </w:r>
          </w:p>
        </w:tc>
        <w:tc>
          <w:tcPr/>
          <w:p>
            <w:pPr>
              <w:pStyle w:val="Compact"/>
            </w:pPr>
            <w:r>
              <w:t xml:space="preserve">L1 covariate</w:t>
            </w:r>
          </w:p>
        </w:tc>
      </w:tr>
      <w:tr>
        <w:tc>
          <w:tcPr/>
          <w:p>
            <w:pPr>
              <w:pStyle w:val="Compact"/>
            </w:pPr>
            <w:r>
              <w:t xml:space="preserve">Sex</w:t>
            </w:r>
          </w:p>
        </w:tc>
        <w:tc>
          <w:tcPr/>
          <w:p>
            <w:pPr>
              <w:pStyle w:val="Compact"/>
            </w:pPr>
            <w:r>
              <w:t xml:space="preserve">Male/female age-adjusted incidence 63.0/48.9, ratio 1.29</w:t>
            </w:r>
          </w:p>
        </w:tc>
        <w:tc>
          <w:tcPr/>
          <w:p>
            <w:pPr>
              <w:pStyle w:val="Compact"/>
            </w:pPr>
            <w:r>
              <w:t xml:space="preserve">[2]</w:t>
            </w:r>
          </w:p>
        </w:tc>
        <w:tc>
          <w:tcPr/>
          <w:p>
            <w:pPr>
              <w:pStyle w:val="Compact"/>
            </w:pPr>
            <w:r>
              <w:t xml:space="preserve">H-to-L1 sex effect</w:t>
            </w:r>
          </w:p>
        </w:tc>
      </w:tr>
      <w:tr>
        <w:tc>
          <w:tcPr/>
          <w:p>
            <w:pPr>
              <w:pStyle w:val="Compact"/>
            </w:pPr>
            <w:r>
              <w:t xml:space="preserve">Age</w:t>
            </w:r>
          </w:p>
        </w:tc>
        <w:tc>
          <w:tcPr/>
          <w:p>
            <w:pPr>
              <w:pStyle w:val="Compact"/>
            </w:pPr>
            <w:r>
              <w:t xml:space="preserve">Incidence rises from 0.3 per 100,000 at ages 20-24 to 408.3 at ages 80-84</w:t>
            </w:r>
          </w:p>
        </w:tc>
        <w:tc>
          <w:tcPr/>
          <w:p>
            <w:pPr>
              <w:pStyle w:val="Compact"/>
            </w:pPr>
            <w:r>
              <w:t xml:space="preserve">[2]</w:t>
            </w:r>
          </w:p>
        </w:tc>
        <w:tc>
          <w:tcPr/>
          <w:p>
            <w:pPr>
              <w:pStyle w:val="Compact"/>
            </w:pPr>
            <w:r>
              <w:t xml:space="preserve">Common age slope</w:t>
            </w:r>
          </w:p>
        </w:tc>
      </w:tr>
    </w:tbl>
    <w:bookmarkEnd w:id="23"/>
    <w:bookmarkStart w:id="27" w:name="Xa16968ea0ac01bfeb4291c289fcfb0fc56bd7a9"/>
    <w:p>
      <w:pPr>
        <w:pStyle w:val="Heading2"/>
      </w:pPr>
      <w:r>
        <w:t xml:space="preserve">5. Parameter priors and identification strategy</w:t>
      </w:r>
    </w:p>
    <w:bookmarkStart w:id="24" w:name="transition-parameters"/>
    <w:p>
      <w:pPr>
        <w:pStyle w:val="Heading3"/>
      </w:pPr>
      <w:r>
        <w:t xml:space="preserve">5.1 Transition parameters</w:t>
      </w:r>
    </w:p>
    <w:tbl>
      <w:tblPr>
        <w:tblStyle w:val="Table"/>
        <w:tblW w:type="pct" w:w="5000"/>
        <w:tblLayout w:type="fixed"/>
        <w:tblLook w:firstRow="1" w:lastRow="0" w:firstColumn="0" w:lastColumn="0" w:noHBand="0" w:noVBand="0" w:val="0020"/>
      </w:tblPr>
      <w:tblGrid>
        <w:gridCol w:w="1397"/>
        <w:gridCol w:w="1397"/>
        <w:gridCol w:w="1863"/>
        <w:gridCol w:w="1863"/>
        <w:gridCol w:w="1397"/>
      </w:tblGrid>
      <w:tr>
        <w:trPr>
          <w:tblHeader w:val="on"/>
        </w:trPr>
        <w:tc>
          <w:tcPr/>
          <w:p>
            <w:pPr>
              <w:pStyle w:val="Compact"/>
            </w:pPr>
            <w:r>
              <w:t xml:space="preserve">Parameter</w:t>
            </w:r>
          </w:p>
        </w:tc>
        <w:tc>
          <w:tcPr/>
          <w:p>
            <w:pPr>
              <w:pStyle w:val="Compact"/>
            </w:pPr>
            <w:r>
              <w:t xml:space="preserve">Meaning</w:t>
            </w:r>
          </w:p>
        </w:tc>
        <w:tc>
          <w:tcPr/>
          <w:p>
            <w:pPr>
              <w:pStyle w:val="Compact"/>
              <w:jc w:val="right"/>
            </w:pPr>
            <w:r>
              <w:t xml:space="preserve">Prior median</w:t>
            </w:r>
          </w:p>
        </w:tc>
        <w:tc>
          <w:tcPr/>
          <w:p>
            <w:pPr>
              <w:pStyle w:val="Compact"/>
              <w:jc w:val="right"/>
            </w:pPr>
            <w:r>
              <w:t xml:space="preserve">Prior log-SD</w:t>
            </w:r>
          </w:p>
        </w:tc>
        <w:tc>
          <w:tcPr/>
          <w:p>
            <w:pPr>
              <w:pStyle w:val="Compact"/>
            </w:pPr>
            <w:r>
              <w:t xml:space="preserve">Basis</w:t>
            </w:r>
          </w:p>
        </w:tc>
      </w:tr>
      <w:tr>
        <w:tc>
          <w:tcPr/>
          <w:p>
            <w:pPr>
              <w:pStyle w:val="Compact"/>
            </w:pPr>
            <w:r>
              <w:t xml:space="preserve">q0</w:t>
            </w:r>
          </w:p>
        </w:tc>
        <w:tc>
          <w:tcPr/>
          <w:p>
            <w:pPr>
              <w:pStyle w:val="Compact"/>
            </w:pPr>
            <w:r>
              <w:t xml:space="preserve">H-to-L1, age 60, female, never smoker, no CKD</w:t>
            </w:r>
          </w:p>
        </w:tc>
        <w:tc>
          <w:tcPr/>
          <w:p>
            <w:pPr>
              <w:pStyle w:val="Compact"/>
              <w:jc w:val="right"/>
            </w:pPr>
            <w:r>
              <w:t xml:space="preserve">0.001/year</w:t>
            </w:r>
          </w:p>
        </w:tc>
        <w:tc>
          <w:tcPr/>
          <w:p>
            <w:pPr>
              <w:pStyle w:val="Compact"/>
              <w:jc w:val="right"/>
            </w:pPr>
            <w:r>
              <w:t xml:space="preserve">1.0</w:t>
            </w:r>
          </w:p>
        </w:tc>
        <w:tc>
          <w:tcPr/>
          <w:p>
            <w:pPr>
              <w:pStyle w:val="Compact"/>
            </w:pPr>
            <w:r>
              <w:t xml:space="preserve">Energy-state events are rare in the general population</w:t>
            </w:r>
          </w:p>
        </w:tc>
      </w:tr>
      <w:tr>
        <w:tc>
          <w:tcPr/>
          <w:p>
            <w:pPr>
              <w:pStyle w:val="Compact"/>
            </w:pPr>
            <w:r>
              <w:t xml:space="preserve">q1-q4</w:t>
            </w:r>
          </w:p>
        </w:tc>
        <w:tc>
          <w:tcPr/>
          <w:p>
            <w:pPr>
              <w:pStyle w:val="Compact"/>
            </w:pPr>
            <w:r>
              <w:t xml:space="preserve">Common scale for L1-to-L2, L2-to-L3, L3-to-L4, L4-to-L5</w:t>
            </w:r>
          </w:p>
        </w:tc>
        <w:tc>
          <w:tcPr/>
          <w:p>
            <w:pPr>
              <w:pStyle w:val="Compact"/>
              <w:jc w:val="right"/>
            </w:pPr>
            <w:r>
              <w:t xml:space="preserve">0.05/year</w:t>
            </w:r>
          </w:p>
        </w:tc>
        <w:tc>
          <w:tcPr/>
          <w:p>
            <w:pPr>
              <w:pStyle w:val="Compact"/>
              <w:jc w:val="right"/>
            </w:pPr>
            <w:r>
              <w:t xml:space="preserve">1.0</w:t>
            </w:r>
          </w:p>
        </w:tc>
        <w:tc>
          <w:tcPr/>
          <w:p>
            <w:pPr>
              <w:pStyle w:val="Compact"/>
            </w:pPr>
            <w:r>
              <w:t xml:space="preserve">About 20 years per step; weak information</w:t>
            </w:r>
          </w:p>
        </w:tc>
      </w:tr>
      <w:tr>
        <w:tc>
          <w:tcPr/>
          <w:p>
            <w:pPr>
              <w:pStyle w:val="Compact"/>
            </w:pPr>
            <w:r>
              <w:t xml:space="preserve">q5</w:t>
            </w:r>
          </w:p>
        </w:tc>
        <w:tc>
          <w:tcPr/>
          <w:p>
            <w:pPr>
              <w:pStyle w:val="Compact"/>
            </w:pPr>
            <w:r>
              <w:t xml:space="preserve">L5-to-L6</w:t>
            </w:r>
          </w:p>
        </w:tc>
        <w:tc>
          <w:tcPr/>
          <w:p>
            <w:pPr>
              <w:pStyle w:val="Compact"/>
              <w:jc w:val="right"/>
            </w:pPr>
            <w:r>
              <w:t xml:space="preserve">0.05/year</w:t>
            </w:r>
          </w:p>
        </w:tc>
        <w:tc>
          <w:tcPr/>
          <w:p>
            <w:pPr>
              <w:pStyle w:val="Compact"/>
              <w:jc w:val="right"/>
            </w:pPr>
            <w:r>
              <w:t xml:space="preserve">1.0</w:t>
            </w:r>
          </w:p>
        </w:tc>
        <w:tc>
          <w:tcPr/>
          <w:p>
            <w:pPr>
              <w:pStyle w:val="Compact"/>
            </w:pPr>
            <w:r>
              <w:t xml:space="preserve">Mutation accumulation; weak information</w:t>
            </w:r>
          </w:p>
        </w:tc>
      </w:tr>
      <w:tr>
        <w:tc>
          <w:tcPr/>
          <w:p>
            <w:pPr>
              <w:pStyle w:val="Compact"/>
            </w:pPr>
            <w:r>
              <w:t xml:space="preserve">q6</w:t>
            </w:r>
          </w:p>
        </w:tc>
        <w:tc>
          <w:tcPr/>
          <w:p>
            <w:pPr>
              <w:pStyle w:val="Compact"/>
            </w:pPr>
            <w:r>
              <w:t xml:space="preserve">L6-to-L7</w:t>
            </w:r>
          </w:p>
        </w:tc>
        <w:tc>
          <w:tcPr/>
          <w:p>
            <w:pPr>
              <w:pStyle w:val="Compact"/>
              <w:jc w:val="right"/>
            </w:pPr>
            <w:r>
              <w:t xml:space="preserve">0.25/year</w:t>
            </w:r>
          </w:p>
        </w:tc>
        <w:tc>
          <w:tcPr/>
          <w:p>
            <w:pPr>
              <w:pStyle w:val="Compact"/>
              <w:jc w:val="right"/>
            </w:pPr>
            <w:r>
              <w:t xml:space="preserve">0.5</w:t>
            </w:r>
          </w:p>
        </w:tc>
        <w:tc>
          <w:tcPr/>
          <w:p>
            <w:pPr>
              <w:pStyle w:val="Compact"/>
            </w:pPr>
            <w:r>
              <w:t xml:space="preserve">CIS 17% at one year, 63% at three years; PGGN 1.3-10.5%/year</w:t>
            </w:r>
          </w:p>
        </w:tc>
      </w:tr>
      <w:tr>
        <w:tc>
          <w:tcPr/>
          <w:p>
            <w:pPr>
              <w:pStyle w:val="Compact"/>
            </w:pPr>
            <w:r>
              <w:t xml:space="preserve">beta</w:t>
            </w:r>
          </w:p>
        </w:tc>
        <w:tc>
          <w:tcPr/>
          <w:p>
            <w:pPr>
              <w:pStyle w:val="Compact"/>
            </w:pPr>
            <w:r>
              <w:t xml:space="preserve">Common age slope per 10 years</w:t>
            </w:r>
          </w:p>
        </w:tc>
        <w:tc>
          <w:tcPr/>
          <w:p>
            <w:pPr>
              <w:pStyle w:val="Compact"/>
              <w:jc w:val="right"/>
            </w:pPr>
            <w:r>
              <w:t xml:space="preserve">0.4</w:t>
            </w:r>
          </w:p>
        </w:tc>
        <w:tc>
          <w:tcPr/>
          <w:p>
            <w:pPr>
              <w:pStyle w:val="Compact"/>
              <w:jc w:val="right"/>
            </w:pPr>
            <w:r>
              <w:t xml:space="preserve">0.5</w:t>
            </w:r>
          </w:p>
        </w:tc>
        <w:tc>
          <w:tcPr/>
          <w:p>
            <w:pPr>
              <w:pStyle w:val="Compact"/>
            </w:pPr>
            <w:r>
              <w:t xml:space="preserve">SEER age curve</w:t>
            </w:r>
          </w:p>
        </w:tc>
      </w:tr>
      <w:tr>
        <w:tc>
          <w:tcPr/>
          <w:p>
            <w:pPr>
              <w:pStyle w:val="Compact"/>
            </w:pPr>
            <w:r>
              <w:t xml:space="preserve">smoke</w:t>
            </w:r>
          </w:p>
        </w:tc>
        <w:tc>
          <w:tcPr/>
          <w:p>
            <w:pPr>
              <w:pStyle w:val="Compact"/>
            </w:pPr>
            <w:r>
              <w:t xml:space="preserve">Current-smoking HR for H-to-L1 and L5-to-L6</w:t>
            </w:r>
          </w:p>
        </w:tc>
        <w:tc>
          <w:tcPr/>
          <w:p>
            <w:pPr>
              <w:pStyle w:val="Compact"/>
              <w:jc w:val="right"/>
            </w:pPr>
            <w:r>
              <w:t xml:space="preserve">10</w:t>
            </w:r>
          </w:p>
        </w:tc>
        <w:tc>
          <w:tcPr/>
          <w:p>
            <w:pPr>
              <w:pStyle w:val="Compact"/>
              <w:jc w:val="right"/>
            </w:pPr>
            <w:r>
              <w:t xml:space="preserve">0.7</w:t>
            </w:r>
          </w:p>
        </w:tc>
        <w:tc>
          <w:tcPr/>
          <w:p>
            <w:pPr>
              <w:pStyle w:val="Compact"/>
            </w:pPr>
            <w:r>
              <w:t xml:space="preserve">UK cumulative risk; weak information</w:t>
            </w:r>
          </w:p>
        </w:tc>
      </w:tr>
      <w:tr>
        <w:tc>
          <w:tcPr/>
          <w:p>
            <w:pPr>
              <w:pStyle w:val="Compact"/>
            </w:pPr>
            <w:r>
              <w:t xml:space="preserve">male</w:t>
            </w:r>
          </w:p>
        </w:tc>
        <w:tc>
          <w:tcPr/>
          <w:p>
            <w:pPr>
              <w:pStyle w:val="Compact"/>
            </w:pPr>
            <w:r>
              <w:t xml:space="preserve">Male HR for H-to-L1</w:t>
            </w:r>
          </w:p>
        </w:tc>
        <w:tc>
          <w:tcPr/>
          <w:p>
            <w:pPr>
              <w:pStyle w:val="Compact"/>
              <w:jc w:val="right"/>
            </w:pPr>
            <w:r>
              <w:t xml:space="preserve">1.29</w:t>
            </w:r>
          </w:p>
        </w:tc>
        <w:tc>
          <w:tcPr/>
          <w:p>
            <w:pPr>
              <w:pStyle w:val="Compact"/>
              <w:jc w:val="right"/>
            </w:pPr>
            <w:r>
              <w:t xml:space="preserve">0.3</w:t>
            </w:r>
          </w:p>
        </w:tc>
        <w:tc>
          <w:tcPr/>
          <w:p>
            <w:pPr>
              <w:pStyle w:val="Compact"/>
            </w:pPr>
            <w:r>
              <w:t xml:space="preserve">SEER male/female ratio</w:t>
            </w:r>
          </w:p>
        </w:tc>
      </w:tr>
      <w:tr>
        <w:tc>
          <w:tcPr/>
          <w:p>
            <w:pPr>
              <w:pStyle w:val="Compact"/>
            </w:pPr>
            <w:r>
              <w:t xml:space="preserve">ckd</w:t>
            </w:r>
          </w:p>
        </w:tc>
        <w:tc>
          <w:tcPr/>
          <w:p>
            <w:pPr>
              <w:pStyle w:val="Compact"/>
            </w:pPr>
            <w:r>
              <w:t xml:space="preserve">CKD HR for H-to-L1 and L1-to-L2</w:t>
            </w:r>
          </w:p>
        </w:tc>
        <w:tc>
          <w:tcPr/>
          <w:p>
            <w:pPr>
              <w:pStyle w:val="Compact"/>
              <w:jc w:val="right"/>
            </w:pPr>
            <w:r>
              <w:t xml:space="preserve">1.5</w:t>
            </w:r>
          </w:p>
        </w:tc>
        <w:tc>
          <w:tcPr/>
          <w:p>
            <w:pPr>
              <w:pStyle w:val="Compact"/>
              <w:jc w:val="right"/>
            </w:pPr>
            <w:r>
              <w:t xml:space="preserve">0.5</w:t>
            </w:r>
          </w:p>
        </w:tc>
        <w:tc>
          <w:tcPr/>
          <w:p>
            <w:pPr>
              <w:pStyle w:val="Compact"/>
            </w:pPr>
            <w:r>
              <w:t xml:space="preserve">Dialysis SMR/SIR</w:t>
            </w:r>
          </w:p>
        </w:tc>
      </w:tr>
      <w:tr>
        <w:tc>
          <w:tcPr/>
          <w:p>
            <w:pPr>
              <w:pStyle w:val="Compact"/>
            </w:pPr>
            <w:r>
              <w:t xml:space="preserve">r</w:t>
            </w:r>
          </w:p>
        </w:tc>
        <w:tc>
          <w:tcPr/>
          <w:p>
            <w:pPr>
              <w:pStyle w:val="Compact"/>
            </w:pPr>
            <w:r>
              <w:t xml:space="preserve">L6-to-H clearance after cessation</w:t>
            </w:r>
          </w:p>
        </w:tc>
        <w:tc>
          <w:tcPr/>
          <w:p>
            <w:pPr>
              <w:pStyle w:val="Compact"/>
              <w:jc w:val="right"/>
            </w:pPr>
            <w:r>
              <w:t xml:space="preserve">0.02/year</w:t>
            </w:r>
          </w:p>
        </w:tc>
        <w:tc>
          <w:tcPr/>
          <w:p>
            <w:pPr>
              <w:pStyle w:val="Compact"/>
              <w:jc w:val="right"/>
            </w:pPr>
            <w:r>
              <w:t xml:space="preserve">1.0</w:t>
            </w:r>
          </w:p>
        </w:tc>
        <w:tc>
          <w:tcPr/>
          <w:p>
            <w:pPr>
              <w:pStyle w:val="Compact"/>
            </w:pPr>
            <w:r>
              <w:t xml:space="preserve">Normal epithelial replenishment after quitting; intervention only</w:t>
            </w:r>
          </w:p>
        </w:tc>
      </w:tr>
    </w:tbl>
    <w:bookmarkEnd w:id="24"/>
    <w:bookmarkStart w:id="25" w:name="fixed-parameters"/>
    <w:p>
      <w:pPr>
        <w:pStyle w:val="Heading3"/>
      </w:pPr>
      <w:r>
        <w:t xml:space="preserve">5.2 Fixed parameters</w:t>
      </w:r>
    </w:p>
    <w:tbl>
      <w:tblPr>
        <w:tblStyle w:val="Table"/>
        <w:tblW w:type="pct" w:w="5000"/>
        <w:tblLayout w:type="fixed"/>
        <w:tblLook w:firstRow="1" w:lastRow="0" w:firstColumn="0" w:lastColumn="0" w:noHBand="0" w:noVBand="0" w:val="0020"/>
      </w:tblPr>
      <w:tblGrid>
        <w:gridCol w:w="2376"/>
        <w:gridCol w:w="3168"/>
        <w:gridCol w:w="2376"/>
      </w:tblGrid>
      <w:tr>
        <w:trPr>
          <w:tblHeader w:val="on"/>
        </w:trPr>
        <w:tc>
          <w:tcPr/>
          <w:p>
            <w:pPr>
              <w:pStyle w:val="Compact"/>
            </w:pPr>
            <w:r>
              <w:t xml:space="preserve">Parameter</w:t>
            </w:r>
          </w:p>
        </w:tc>
        <w:tc>
          <w:tcPr/>
          <w:p>
            <w:pPr>
              <w:pStyle w:val="Compact"/>
              <w:jc w:val="right"/>
            </w:pPr>
            <w:r>
              <w:t xml:space="preserve">Value</w:t>
            </w:r>
          </w:p>
        </w:tc>
        <w:tc>
          <w:tcPr/>
          <w:p>
            <w:pPr>
              <w:pStyle w:val="Compact"/>
            </w:pPr>
            <w:r>
              <w:t xml:space="preserve">Basis</w:t>
            </w:r>
          </w:p>
        </w:tc>
      </w:tr>
      <w:tr>
        <w:tc>
          <w:tcPr/>
          <w:p>
            <w:pPr>
              <w:pStyle w:val="Compact"/>
            </w:pPr>
            <w:r>
              <w:t xml:space="preserve">L7-to-D exponential rate</w:t>
            </w:r>
          </w:p>
        </w:tc>
        <w:tc>
          <w:tcPr/>
          <w:p>
            <w:pPr>
              <w:pStyle w:val="Compact"/>
              <w:jc w:val="right"/>
            </w:pPr>
            <w:r>
              <w:t xml:space="preserve">0.244/year</w:t>
            </w:r>
          </w:p>
        </w:tc>
        <w:tc>
          <w:tcPr/>
          <w:p>
            <w:pPr>
              <w:pStyle w:val="Compact"/>
            </w:pPr>
            <w:r>
              <w:t xml:space="preserve">Five-year survival 29.5%, -ln(0.295)/5</w:t>
            </w:r>
          </w:p>
        </w:tc>
      </w:tr>
      <w:tr>
        <w:tc>
          <w:tcPr/>
          <w:p>
            <w:pPr>
              <w:pStyle w:val="Compact"/>
            </w:pPr>
            <w:r>
              <w:t xml:space="preserve">Stage-specific survival</w:t>
            </w:r>
          </w:p>
        </w:tc>
        <w:tc>
          <w:tcPr/>
          <w:p>
            <w:pPr>
              <w:pStyle w:val="Compact"/>
              <w:jc w:val="right"/>
            </w:pPr>
            <w:r>
              <w:t xml:space="preserve">65.5%/38.2%/10.5%/17.5%</w:t>
            </w:r>
          </w:p>
        </w:tc>
        <w:tc>
          <w:tcPr/>
          <w:p>
            <w:pPr>
              <w:pStyle w:val="Compact"/>
            </w:pPr>
            <w:r>
              <w:t xml:space="preserve">[1]</w:t>
            </w:r>
          </w:p>
        </w:tc>
      </w:tr>
      <w:tr>
        <w:tc>
          <w:tcPr/>
          <w:p>
            <w:pPr>
              <w:pStyle w:val="Compact"/>
            </w:pPr>
            <w:r>
              <w:t xml:space="preserve">Stage distribution</w:t>
            </w:r>
          </w:p>
        </w:tc>
        <w:tc>
          <w:tcPr/>
          <w:p>
            <w:pPr>
              <w:pStyle w:val="Compact"/>
              <w:jc w:val="right"/>
            </w:pPr>
            <w:r>
              <w:t xml:space="preserve">24%/21%/51%/4%</w:t>
            </w:r>
          </w:p>
        </w:tc>
        <w:tc>
          <w:tcPr/>
          <w:p>
            <w:pPr>
              <w:pStyle w:val="Compact"/>
            </w:pPr>
            <w:r>
              <w:t xml:space="preserve">[1]</w:t>
            </w:r>
          </w:p>
        </w:tc>
      </w:tr>
      <w:tr>
        <w:tc>
          <w:tcPr/>
          <w:p>
            <w:pPr>
              <w:pStyle w:val="Compact"/>
            </w:pPr>
            <w:r>
              <w:t xml:space="preserve">Background mortality</w:t>
            </w:r>
          </w:p>
        </w:tc>
        <w:tc>
          <w:tcPr/>
          <w:p>
            <w:pPr>
              <w:pStyle w:val="Compact"/>
              <w:jc w:val="right"/>
            </w:pPr>
            <w:r>
              <w:t xml:space="preserve">Gompertz approximation, about 0.001/0.006/0.040 per year at ages 40/60/80</w:t>
            </w:r>
          </w:p>
        </w:tc>
        <w:tc>
          <w:tcPr/>
          <w:p>
            <w:pPr>
              <w:pStyle w:val="Compact"/>
            </w:pPr>
            <w:r>
              <w:t xml:space="preserve">US all-cause mortality; sensitivity ±25%</w:t>
            </w:r>
          </w:p>
        </w:tc>
      </w:tr>
      <w:tr>
        <w:tc>
          <w:tcPr/>
          <w:p>
            <w:pPr>
              <w:pStyle w:val="Compact"/>
            </w:pPr>
            <w:r>
              <w:t xml:space="preserve">Number of states</w:t>
            </w:r>
          </w:p>
        </w:tc>
        <w:tc>
          <w:tcPr/>
          <w:p>
            <w:pPr>
              <w:pStyle w:val="Compact"/>
              <w:jc w:val="right"/>
            </w:pPr>
            <w:r>
              <w:t xml:space="preserve">9 (H, L1-L7, D)</w:t>
            </w:r>
          </w:p>
        </w:tc>
        <w:tc>
          <w:tcPr/>
          <w:p>
            <w:pPr>
              <w:pStyle w:val="Compact"/>
            </w:pPr>
            <w:r>
              <w:t xml:space="preserve">Model specification</w:t>
            </w:r>
          </w:p>
        </w:tc>
      </w:tr>
      <w:tr>
        <w:tc>
          <w:tcPr/>
          <w:p>
            <w:pPr>
              <w:pStyle w:val="Compact"/>
            </w:pPr>
            <w:r>
              <w:t xml:space="preserve">Time step</w:t>
            </w:r>
          </w:p>
        </w:tc>
        <w:tc>
          <w:tcPr/>
          <w:p>
            <w:pPr>
              <w:pStyle w:val="Compact"/>
              <w:jc w:val="right"/>
            </w:pPr>
            <w:r>
              <w:t xml:space="preserve">Monthly</w:t>
            </w:r>
          </w:p>
        </w:tc>
        <w:tc>
          <w:tcPr/>
          <w:p>
            <w:pPr>
              <w:pStyle w:val="Compact"/>
            </w:pPr>
            <w:r>
              <w:t xml:space="preserve">Numerical integration</w:t>
            </w:r>
          </w:p>
        </w:tc>
      </w:tr>
      <w:tr>
        <w:tc>
          <w:tcPr/>
          <w:p>
            <w:pPr>
              <w:pStyle w:val="Compact"/>
            </w:pPr>
            <w:r>
              <w:t xml:space="preserve">Age range</w:t>
            </w:r>
          </w:p>
        </w:tc>
        <w:tc>
          <w:tcPr/>
          <w:p>
            <w:pPr>
              <w:pStyle w:val="Compact"/>
              <w:jc w:val="right"/>
            </w:pPr>
            <w:r>
              <w:t xml:space="preserve">20-90 years</w:t>
            </w:r>
          </w:p>
        </w:tc>
        <w:tc>
          <w:tcPr/>
          <w:p>
            <w:pPr>
              <w:pStyle w:val="Compact"/>
            </w:pPr>
            <w:r>
              <w:t xml:space="preserve">SEER calibration range</w:t>
            </w:r>
          </w:p>
        </w:tc>
      </w:tr>
    </w:tbl>
    <w:bookmarkEnd w:id="25"/>
    <w:bookmarkStart w:id="26" w:name="identification-strategy"/>
    <w:p>
      <w:pPr>
        <w:pStyle w:val="Heading3"/>
      </w:pPr>
      <w:r>
        <w:t xml:space="preserve">5.3 Identification strategy</w:t>
      </w:r>
    </w:p>
    <w:p>
      <w:pPr>
        <w:pStyle w:val="FirstParagraph"/>
      </w:pPr>
      <w:r>
        <w:t xml:space="preserve">The population incidence curve identifies the</w:t>
      </w:r>
      <w:r>
        <w:t xml:space="preserve"> </w:t>
      </w:r>
      <w:r>
        <w:rPr>
          <w:b/>
          <w:bCs/>
        </w:rPr>
        <w:t xml:space="preserve">composite transition</w:t>
      </w:r>
      <w:r>
        <w:t xml:space="preserve"> </w:t>
      </w:r>
      <w:r>
        <w:t xml:space="preserve">across the seven states, not each individual edge. We use three constraints. First, q1-q4 share a scale, reducing the number of free parameters. Second, q6 receives an informative prior from CIS and PGGN progression rates. Third, profile likelihood scans q6, q5, and q0 and reports the identified interval. Edges that cannot be identified are labeled as structural priors and are not interpreted as experimental estimates.</w:t>
      </w:r>
    </w:p>
    <w:bookmarkEnd w:id="26"/>
    <w:bookmarkEnd w:id="27"/>
    <w:bookmarkStart w:id="28" w:name="data-gaps-and-substitutes"/>
    <w:p>
      <w:pPr>
        <w:pStyle w:val="Heading2"/>
      </w:pPr>
      <w:r>
        <w:t xml:space="preserve">6. Data gaps and substitutes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Gap</w:t>
            </w:r>
          </w:p>
        </w:tc>
        <w:tc>
          <w:tcPr/>
          <w:p>
            <w:pPr>
              <w:pStyle w:val="Compact"/>
            </w:pPr>
            <w:r>
              <w:t xml:space="preserve">Substitute</w:t>
            </w:r>
          </w:p>
        </w:tc>
        <w:tc>
          <w:tcPr/>
          <w:p>
            <w:pPr>
              <w:pStyle w:val="Compact"/>
            </w:pPr>
            <w:r>
              <w:t xml:space="preserve">Impact</w:t>
            </w:r>
          </w:p>
        </w:tc>
        <w:tc>
          <w:tcPr/>
          <w:p>
            <w:pPr>
              <w:pStyle w:val="Compact"/>
            </w:pPr>
            <w:r>
              <w:t xml:space="preserve">Next step</w:t>
            </w:r>
          </w:p>
        </w:tc>
      </w:tr>
      <w:tr>
        <w:tc>
          <w:tcPr/>
          <w:p>
            <w:pPr>
              <w:pStyle w:val="Compact"/>
            </w:pPr>
            <w:r>
              <w:t xml:space="preserve">Longitudinal L1-L6 readouts in one population</w:t>
            </w:r>
          </w:p>
        </w:tc>
        <w:tc>
          <w:tcPr/>
          <w:p>
            <w:pPr>
              <w:pStyle w:val="Compact"/>
            </w:pPr>
            <w:r>
              <w:t xml:space="preserve">Cross-sectional effect sizes plus state priors</w:t>
            </w:r>
          </w:p>
        </w:tc>
        <w:tc>
          <w:tcPr/>
          <w:p>
            <w:pPr>
              <w:pStyle w:val="Compact"/>
            </w:pPr>
            <w:r>
              <w:t xml:space="preserve">Individual trajectories cannot be directly validated</w:t>
            </w:r>
          </w:p>
        </w:tc>
        <w:tc>
          <w:tcPr/>
          <w:p>
            <w:pPr>
              <w:pStyle w:val="Compact"/>
            </w:pPr>
            <w:r>
              <w:t xml:space="preserve">Build a high-risk cohort with annual blood, sputum, and imaging</w:t>
            </w:r>
          </w:p>
        </w:tc>
      </w:tr>
      <w:tr>
        <w:tc>
          <w:tcPr/>
          <w:p>
            <w:pPr>
              <w:pStyle w:val="Compact"/>
            </w:pPr>
            <w:r>
              <w:t xml:space="preserve">Human lung L4 interstitial pressure by state</w:t>
            </w:r>
          </w:p>
        </w:tc>
        <w:tc>
          <w:tcPr/>
          <w:p>
            <w:pPr>
              <w:pStyle w:val="Compact"/>
            </w:pPr>
            <w:r>
              <w:t xml:space="preserve">Solid-tumor IFP reviews plus LDH/LOXL2</w:t>
            </w:r>
          </w:p>
        </w:tc>
        <w:tc>
          <w:tcPr/>
          <w:p>
            <w:pPr>
              <w:pStyle w:val="Compact"/>
            </w:pPr>
            <w:r>
              <w:t xml:space="preserve">L4 readout has direction but no state threshold</w:t>
            </w:r>
          </w:p>
        </w:tc>
        <w:tc>
          <w:tcPr/>
          <w:p>
            <w:pPr>
              <w:pStyle w:val="Compact"/>
            </w:pPr>
            <w:r>
              <w:t xml:space="preserve">Intraoperative or image-guided pressure measurement</w:t>
            </w:r>
          </w:p>
        </w:tc>
      </w:tr>
      <w:tr>
        <w:tc>
          <w:tcPr/>
          <w:p>
            <w:pPr>
              <w:pStyle w:val="Compact"/>
            </w:pPr>
            <w:r>
              <w:t xml:space="preserve">Lung-cancer-specific SIR in CKD</w:t>
            </w:r>
          </w:p>
        </w:tc>
        <w:tc>
          <w:tcPr/>
          <w:p>
            <w:pPr>
              <w:pStyle w:val="Compact"/>
            </w:pPr>
            <w:r>
              <w:t xml:space="preserve">All-cancer SMR/SIR plus the direction of excess lung-cancer deaths</w:t>
            </w:r>
          </w:p>
        </w:tc>
        <w:tc>
          <w:tcPr/>
          <w:p>
            <w:pPr>
              <w:pStyle w:val="Compact"/>
            </w:pPr>
            <w:r>
              <w:t xml:space="preserve">CKD effect size uncertain</w:t>
            </w:r>
          </w:p>
        </w:tc>
        <w:tc>
          <w:tcPr/>
          <w:p>
            <w:pPr>
              <w:pStyle w:val="Compact"/>
            </w:pPr>
            <w:r>
              <w:t xml:space="preserve">Extract lung-cancer-specific SIR from dialysis registries</w:t>
            </w:r>
          </w:p>
        </w:tc>
      </w:tr>
      <w:tr>
        <w:tc>
          <w:tcPr/>
          <w:p>
            <w:pPr>
              <w:pStyle w:val="Compact"/>
            </w:pPr>
            <w:r>
              <w:t xml:space="preserve">q6 for all L6 lesions</w:t>
            </w:r>
          </w:p>
        </w:tc>
        <w:tc>
          <w:tcPr/>
          <w:p>
            <w:pPr>
              <w:pStyle w:val="Compact"/>
            </w:pPr>
            <w:r>
              <w:t xml:space="preserve">CIS, PGGN, and HGGN stage-specific progression rates</w:t>
            </w:r>
          </w:p>
        </w:tc>
        <w:tc>
          <w:tcPr/>
          <w:p>
            <w:pPr>
              <w:pStyle w:val="Compact"/>
            </w:pPr>
            <w:r>
              <w:t xml:space="preserve">q6 is heterogeneous across lesion types</w:t>
            </w:r>
          </w:p>
        </w:tc>
        <w:tc>
          <w:tcPr/>
          <w:p>
            <w:pPr>
              <w:pStyle w:val="Compact"/>
            </w:pPr>
            <w:r>
              <w:t xml:space="preserve">Model lesion type as a stratum</w:t>
            </w:r>
          </w:p>
        </w:tc>
      </w:tr>
      <w:tr>
        <w:tc>
          <w:tcPr/>
          <w:p>
            <w:pPr>
              <w:pStyle w:val="Compact"/>
            </w:pPr>
            <w:r>
              <w:t xml:space="preserve">Readout thresholds differ across studies</w:t>
            </w:r>
          </w:p>
        </w:tc>
        <w:tc>
          <w:tcPr/>
          <w:p>
            <w:pPr>
              <w:pStyle w:val="Compact"/>
            </w:pPr>
            <w:r>
              <w:t xml:space="preserve">Standardized effect sizes plus random-effects priors</w:t>
            </w:r>
          </w:p>
        </w:tc>
        <w:tc>
          <w:tcPr/>
          <w:p>
            <w:pPr>
              <w:pStyle w:val="Compact"/>
            </w:pPr>
            <w:r>
              <w:t xml:space="preserve">Measurement model is heterogeneous</w:t>
            </w:r>
          </w:p>
        </w:tc>
        <w:tc>
          <w:tcPr/>
          <w:p>
            <w:pPr>
              <w:pStyle w:val="Compact"/>
            </w:pPr>
            <w:r>
              <w:t xml:space="preserve">Use a common assay platform</w:t>
            </w:r>
          </w:p>
        </w:tc>
      </w:tr>
      <w:tr>
        <w:tc>
          <w:tcPr/>
          <w:p>
            <w:pPr>
              <w:pStyle w:val="Compact"/>
            </w:pPr>
            <w:r>
              <w:t xml:space="preserve">Individual smoking and screening history</w:t>
            </w:r>
          </w:p>
        </w:tc>
        <w:tc>
          <w:tcPr/>
          <w:p>
            <w:pPr>
              <w:pStyle w:val="Compact"/>
            </w:pPr>
            <w:r>
              <w:t xml:space="preserve">Population smoking prevalence plus trial effects</w:t>
            </w:r>
          </w:p>
        </w:tc>
        <w:tc>
          <w:tcPr/>
          <w:p>
            <w:pPr>
              <w:pStyle w:val="Compact"/>
            </w:pPr>
            <w:r>
              <w:t xml:space="preserve">Intervention simulations are population averages</w:t>
            </w:r>
          </w:p>
        </w:tc>
        <w:tc>
          <w:tcPr/>
          <w:p>
            <w:pPr>
              <w:pStyle w:val="Compact"/>
            </w:pPr>
            <w:r>
              <w:t xml:space="preserve">Add a smoking-history generator to the microsimulation</w:t>
            </w:r>
          </w:p>
        </w:tc>
      </w:tr>
      <w:tr>
        <w:tc>
          <w:tcPr/>
          <w:p>
            <w:pPr>
              <w:pStyle w:val="Compact"/>
            </w:pPr>
            <w:r>
              <w:t xml:space="preserve">Exact stage shift from screening</w:t>
            </w:r>
          </w:p>
        </w:tc>
        <w:tc>
          <w:tcPr/>
          <w:p>
            <w:pPr>
              <w:pStyle w:val="Compact"/>
            </w:pPr>
            <w:r>
              <w:t xml:space="preserve">NLST/NELSON mortality effects plus SEER stage-specific survival</w:t>
            </w:r>
          </w:p>
        </w:tc>
        <w:tc>
          <w:tcPr/>
          <w:p>
            <w:pPr>
              <w:pStyle w:val="Compact"/>
            </w:pPr>
            <w:r>
              <w:t xml:space="preserve">Stage shift is a calibration output, not an input</w:t>
            </w:r>
          </w:p>
        </w:tc>
        <w:tc>
          <w:tcPr/>
          <w:p>
            <w:pPr>
              <w:pStyle w:val="Compact"/>
            </w:pPr>
            <w:r>
              <w:t xml:space="preserve">Obtain trial stage tables</w:t>
            </w:r>
          </w:p>
        </w:tc>
      </w:tr>
    </w:tbl>
    <w:bookmarkEnd w:id="28"/>
    <w:bookmarkStart w:id="29" w:name="references"/>
    <w:p>
      <w:pPr>
        <w:pStyle w:val="Heading2"/>
      </w:pPr>
      <w:r>
        <w:t xml:space="preserve">7. References</w:t>
      </w:r>
    </w:p>
    <w:p>
      <w:pPr>
        <w:numPr>
          <w:ilvl w:val="0"/>
          <w:numId w:val="1001"/>
        </w:numPr>
      </w:pPr>
      <w:r>
        <w:t xml:space="preserve">National Cancer Institute. SEER Cancer Stat Facts: Lung and Bronchus Cancer. https://seer.cancer.gov/statfacts/html/lungb.html. Accessed 3 November 2026.</w:t>
      </w:r>
    </w:p>
    <w:p>
      <w:pPr>
        <w:numPr>
          <w:ilvl w:val="0"/>
          <w:numId w:val="1001"/>
        </w:numPr>
      </w:pPr>
      <w:r>
        <w:t xml:space="preserve">National Cancer Institute. SEER Cancer Statistics Review 1975-2016, Table 15.10. https://seer.cancer.gov/archive/csr/1975_2016/. Accessed 3 November 2026.</w:t>
      </w:r>
    </w:p>
    <w:p>
      <w:pPr>
        <w:numPr>
          <w:ilvl w:val="0"/>
          <w:numId w:val="1001"/>
        </w:numPr>
      </w:pPr>
      <w:r>
        <w:t xml:space="preserve">National Lung Screening Trial Research Team, Aberle DR, Adams AM, Berg CD, Black WC, Clapp JD, et al. Reduced lung-cancer mortality with low-dose computed tomographic screening. N Engl J Med. 2011;365(5):395-409. doi:10.1056/NEJMoa1102873. PMID: 21714641.</w:t>
      </w:r>
    </w:p>
    <w:p>
      <w:pPr>
        <w:numPr>
          <w:ilvl w:val="0"/>
          <w:numId w:val="1001"/>
        </w:numPr>
      </w:pPr>
      <w:r>
        <w:t xml:space="preserve">de Koning HJ, van der Aalst CM, de Jong PA, Scholten ET, Nackaerts K, Heuvelmans MA, et al. Reduced Lung-Cancer Mortality with Volume CT Screening in a Randomized Trial. N Engl J Med. 2020;382(6):503-513. doi:10.1056/NEJMoa1911793. PMID: 31995683.</w:t>
      </w:r>
    </w:p>
    <w:p>
      <w:pPr>
        <w:numPr>
          <w:ilvl w:val="0"/>
          <w:numId w:val="1001"/>
        </w:numPr>
      </w:pPr>
      <w:r>
        <w:t xml:space="preserve">Peto R, Darby S, Deo H, Silcocks P, Whitley E, Doll R. Smoking, smoking cessation, and lung cancer in the UK since 1950: combination of national statistics with two case-control studies. BMJ. 2000;321(7257):323-9. doi:10.1136/bmj.321.7257.323. PMID: 10926586.</w:t>
      </w:r>
    </w:p>
    <w:p>
      <w:pPr>
        <w:numPr>
          <w:ilvl w:val="0"/>
          <w:numId w:val="1001"/>
        </w:numPr>
      </w:pPr>
      <w:r>
        <w:t xml:space="preserve">Thun MJ, Hannan LM, Adams-Campbell LL, Boffetta P, Buring JE, Feskanich D, et al. Lung cancer occurrence in never-smokers: an analysis of 13 cohorts and 22 cancer registry studies. PLoS Med. 2008;5(9):e185. doi:10.1371/journal.pmed.0050185. PMID: 18788891.</w:t>
      </w:r>
    </w:p>
    <w:p>
      <w:pPr>
        <w:numPr>
          <w:ilvl w:val="0"/>
          <w:numId w:val="1001"/>
        </w:numPr>
      </w:pPr>
      <w:r>
        <w:t xml:space="preserve">Alberg AJ, Brock MV, Ford JG, Samet JM, Spivack SD. Epidemiology of lung cancer: Diagnosis and management of lung cancer, 3rd ed: American College of Chest Physicians evidence-based clinical practice guidelines. Chest. 2013;143(5 Suppl):e1S-e29S. doi:10.1378/chest.12-2345. PMID: 23649439.</w:t>
      </w:r>
    </w:p>
    <w:p>
      <w:pPr>
        <w:numPr>
          <w:ilvl w:val="0"/>
          <w:numId w:val="1001"/>
        </w:numPr>
      </w:pPr>
      <w:r>
        <w:t xml:space="preserve">Gong X, Zhao Z, Yuan Y. Lung cancer incidence and risk factors in chronic obstructive pulmonary disease: a systematic review and meta-analysis of cohort studies. J Thorac Dis. 2026;18(4):274. doi:10.21037/jtd-2026-1-0245. PMID: 42182791.</w:t>
      </w:r>
    </w:p>
    <w:p>
      <w:pPr>
        <w:numPr>
          <w:ilvl w:val="0"/>
          <w:numId w:val="1001"/>
        </w:numPr>
      </w:pPr>
      <w:r>
        <w:t xml:space="preserve">Rosales BM, De La Mata N, Vajdic CM, Kelly PJ, Wyburn K, Webster AC. Cancer Mortality in People Receiving Dialysis for Kidney Failure: An Australian and New Zealand Cohort Study, 1980-2013. Am J Kidney Dis. 2022;80(4):449-461. doi:10.1053/j.ajkd.2022.03.010. PMID: 35500725.</w:t>
      </w:r>
    </w:p>
    <w:p>
      <w:pPr>
        <w:numPr>
          <w:ilvl w:val="0"/>
          <w:numId w:val="1001"/>
        </w:numPr>
      </w:pPr>
      <w:r>
        <w:t xml:space="preserve">Arakawa Y, Ishida Y, Higa A, Tana T, Moromizato T, Kohagura K, et al. Cancer Risk in Haemodialysis Patients Compared With That in the General Population: A Multicenter Questionnaire-Based Study in Okinawa, Japan. Nephrology (Carlton). 2026;31(10):e70293. doi:10.1111/nep.70293. PMID: 42865121.</w:t>
      </w:r>
    </w:p>
    <w:p>
      <w:pPr>
        <w:numPr>
          <w:ilvl w:val="0"/>
          <w:numId w:val="1001"/>
        </w:numPr>
      </w:pPr>
      <w:r>
        <w:t xml:space="preserve">Rodríguez de Vera-Gómez P, Galindo-Gallardo M, González-Pacheco M, Carmona-Llanos A, Zarco-Martín MT, Palmas-Candia FX, et al. Malnutrition Severity, Morphofunctional Assessment, and Survival in Patients with Lung Cancer: A Multicentre Prospective Cohort Study. Lung. 2026;204(1). doi:10.1007/s00408-026-00924-9. PMID: 42595921.</w:t>
      </w:r>
    </w:p>
    <w:p>
      <w:pPr>
        <w:numPr>
          <w:ilvl w:val="0"/>
          <w:numId w:val="1001"/>
        </w:numPr>
      </w:pPr>
      <w:r>
        <w:t xml:space="preserve">Lu Z, Fu S, Li W, Gao X, Wang J. Prognostic role of C-reactive protein to albumin ratio in lung cancer: An updated systematic review and meta-analysis. Chronic Dis Transl Med. 2024;10(1):31-39. doi:10.1002/cdt3.91. PMID: 38450307.</w:t>
      </w:r>
    </w:p>
    <w:p>
      <w:pPr>
        <w:numPr>
          <w:ilvl w:val="0"/>
          <w:numId w:val="1001"/>
        </w:numPr>
      </w:pPr>
      <w:r>
        <w:t xml:space="preserve">Wang Y, Hu J, Sun Y, Zhang K. Predictive value of HALP score for clinical outcomes in lung cancer patients: a systematic review and meta-analysis. Transl Cancer Res. 2026;15(8):647. doi:10.21037/tcr-2026-0932. PMID: 42724888.</w:t>
      </w:r>
    </w:p>
    <w:p>
      <w:pPr>
        <w:numPr>
          <w:ilvl w:val="0"/>
          <w:numId w:val="1001"/>
        </w:numPr>
      </w:pPr>
      <w:r>
        <w:t xml:space="preserve">Cao H, Wang G, Meng L, Shen H, Feng Z, Liu Q, et al. Association between circulating levels of IGF-1 and IGFBP-3 and lung cancer risk: a meta-analysis. PLoS One. 2012;7(11):e49884. doi:10.1371/journal.pone.0049884. PMID: 23185474.</w:t>
      </w:r>
    </w:p>
    <w:p>
      <w:pPr>
        <w:numPr>
          <w:ilvl w:val="0"/>
          <w:numId w:val="1001"/>
        </w:numPr>
      </w:pPr>
      <w:r>
        <w:t xml:space="preserve">Zhao S, Jiang T, Zhang L, Yang H, Liu X, Jia Y, et al. Clinicopathological and prognostic significance of regulatory T cells in patients with non-small cell lung cancer: A systematic review with meta-analysis. Oncotarget. 2016;7(24):36065-36073. doi:10.18632/oncotarget.9130. PMID: 27153545.</w:t>
      </w:r>
    </w:p>
    <w:p>
      <w:pPr>
        <w:numPr>
          <w:ilvl w:val="0"/>
          <w:numId w:val="1001"/>
        </w:numPr>
      </w:pPr>
      <w:r>
        <w:t xml:space="preserve">Khambholja K, Gehani M, Kothari R, Marulkar S. Prognostic value of tumour-associated regulatory T-cells as a biomarker in non-small cell lung cancer: a systematic review and meta-analysis. Syst Rev. 2024;13(1):233. doi:10.1186/s13643-024-02642-w. PMID: 39272135.</w:t>
      </w:r>
    </w:p>
    <w:p>
      <w:pPr>
        <w:numPr>
          <w:ilvl w:val="0"/>
          <w:numId w:val="1001"/>
        </w:numPr>
      </w:pPr>
      <w:r>
        <w:t xml:space="preserve">Sheida F, Alipour N, Naseri A, Razi S, Manzari Tavakoli G, Moghaddam SJ, et al. Prognostic and clinicopathological value of myeloid-derived suppressor cells in lung cancer: a comprehensive systematic review and meta-analysis. Expert Rev Anticancer Ther. 2026;26(3):345-360. doi:10.1080/14737140.2025.2586691. PMID: 41195653.</w:t>
      </w:r>
    </w:p>
    <w:p>
      <w:pPr>
        <w:numPr>
          <w:ilvl w:val="0"/>
          <w:numId w:val="1001"/>
        </w:numPr>
      </w:pPr>
      <w:r>
        <w:t xml:space="preserve">Bronte G, Calabrò L, Olivieri F, Procopio AD, Crinò L. The prognostic effects of circulating myeloid-derived suppressor cells in non-small cell lung cancer: systematic review and meta-analysis. Clin Exp Med. 2023;23(5):1551-1561. doi:10.1007/s10238-022-00946-6. PMID: 36401744.</w:t>
      </w:r>
    </w:p>
    <w:p>
      <w:pPr>
        <w:numPr>
          <w:ilvl w:val="0"/>
          <w:numId w:val="1001"/>
        </w:numPr>
      </w:pPr>
      <w:r>
        <w:t xml:space="preserve">Liao C, Yu Z, Guo W, Liu Q, Wu Y, Li Y, et al. Prognostic value of circulating inflammatory factors in non-small cell lung cancer: a systematic review and meta-analysis. Cancer Biomark. 2014;14(6):469-81. doi:10.3233/CBM-140423. PMID: 25335739.</w:t>
      </w:r>
    </w:p>
    <w:p>
      <w:pPr>
        <w:numPr>
          <w:ilvl w:val="0"/>
          <w:numId w:val="1001"/>
        </w:numPr>
      </w:pPr>
      <w:r>
        <w:t xml:space="preserve">Pan T, Duan R, Xu Z, He X, Luo X, Zhou G, et al. GDF-15 as a biomarker for diagnosis and prognosis of lung cancer: a meta-analysis. Front Oncol. 2025;15:1447990. doi:10.3389/fonc.2025.1447990. PMID: 40144214.</w:t>
      </w:r>
    </w:p>
    <w:p>
      <w:pPr>
        <w:numPr>
          <w:ilvl w:val="0"/>
          <w:numId w:val="1001"/>
        </w:numPr>
      </w:pPr>
      <w:r>
        <w:t xml:space="preserve">Yan Q, Li S, He L, Chen N. Prognostic implications of tumor-infiltrating lymphocytes in non-small cell lung cancer: a systematic review and meta-analysis. Front Immunol. 2024;15:1476365. doi:10.3389/fimmu.2024.1476365. PMID: 39372398.</w:t>
      </w:r>
    </w:p>
    <w:p>
      <w:pPr>
        <w:numPr>
          <w:ilvl w:val="0"/>
          <w:numId w:val="1001"/>
        </w:numPr>
      </w:pPr>
      <w:r>
        <w:t xml:space="preserve">Zheng QM, Li YY, Wang YP, Li GX, Zhao MM, Sun ZG. Association between CD8+ tumor-infiltrating lymphocytes and prognosis of non-small cell lung cancer patients treated with PD-1/PD-L1 inhibitors: a systematic review and meta-analysis. Expert Rev Anticancer Ther. 2023;23(6):643-659. doi:10.1080/14737140.2023.2208351. PMID: 37114477.</w:t>
      </w:r>
    </w:p>
    <w:p>
      <w:pPr>
        <w:numPr>
          <w:ilvl w:val="0"/>
          <w:numId w:val="1001"/>
        </w:numPr>
      </w:pPr>
      <w:r>
        <w:t xml:space="preserve">Chen B, Li H, Liu C, Xiang X, Wang S, Wu A, et al. Prognostic value of the common tumour-infiltrating lymphocyte subtypes for patients with non-small cell lung cancer: A meta-analysis. PLoS One. 2020;15(11):e0242173. doi:10.1371/journal.pone.0242173. PMID: 33170901.</w:t>
      </w:r>
    </w:p>
    <w:p>
      <w:pPr>
        <w:numPr>
          <w:ilvl w:val="0"/>
          <w:numId w:val="1001"/>
        </w:numPr>
      </w:pPr>
      <w:r>
        <w:t xml:space="preserve">Szentkereszty M, Ladányi A, Gálffy G, Tóvári J, Losonczy G. Density of tumor-infiltrating NK and Treg cells is associated with 5 years progression-free and overall survival in resected lung adenocarcinoma. Lung Cancer. 2024;192:107824. doi:10.1016/j.lungcan.2024.107824. PMID: 38761665.</w:t>
      </w:r>
    </w:p>
    <w:p>
      <w:pPr>
        <w:numPr>
          <w:ilvl w:val="0"/>
          <w:numId w:val="1001"/>
        </w:numPr>
      </w:pPr>
      <w:r>
        <w:t xml:space="preserve">Li N, Zhang Y, Zhang X, Wang H, Yang F, Zhou F, et al. Suppression of NK cell-mediated immunosurveillance by IL-35 drives tumor progression in EGFR-mutant non-small cell lung cancer. Front Oncol. 2025;15:1692801. doi:10.3389/fonc.2025.1692801. PMID: 41357575.</w:t>
      </w:r>
    </w:p>
    <w:p>
      <w:pPr>
        <w:numPr>
          <w:ilvl w:val="0"/>
          <w:numId w:val="1001"/>
        </w:numPr>
      </w:pPr>
      <w:r>
        <w:t xml:space="preserve">Fleming JS, Conway J, Bennett MJ, Tossici-Bolt L, Guy M, Blé FX, et al. Quantitative Assessment of Mucociliary Clearance in Smokers with Mild-to-Moderate Chronic Obstructive Pulmonary Disease and Chronic Bronchitis from Planar Radionuclide Imaging Using the Change in Penetration Index. J Aerosol Med Pulm Drug Deliv. 2019;32(4):175-188. doi:10.1089/jamp.2017.1441. PMID: 30848685.</w:t>
      </w:r>
    </w:p>
    <w:p>
      <w:pPr>
        <w:numPr>
          <w:ilvl w:val="0"/>
          <w:numId w:val="1001"/>
        </w:numPr>
      </w:pPr>
      <w:r>
        <w:t xml:space="preserve">Fleming JS, Conway J, Bennett MJ, Tossici-Bolt L, Guy M, Blé FX, et al. Quantitative Assessment of Regional Mucociliary Clearance in Smokers with Mild-to-Moderate Chronic Obstructive Pulmonary Disease and Chronic Bronchitis from Planar Radionuclide Imaging. J Aerosol Med Pulm Drug Deliv. 2020;33(6):342-356. doi:10.1089/jamp.2019.1551. PMID: 32640859.</w:t>
      </w:r>
    </w:p>
    <w:p>
      <w:pPr>
        <w:numPr>
          <w:ilvl w:val="0"/>
          <w:numId w:val="1001"/>
        </w:numPr>
      </w:pPr>
      <w:r>
        <w:t xml:space="preserve">Ghio AJ, Stewart M, Sangani RG, Pavlisko EN, Roggli VL. Cigarette smoking decreases macrophage-dependent clearance to impact the biological effects of occupational and environmental particle exposures. Front Public Health. 2025;13:1558723. doi:10.3389/fpubh.2025.1558723. PMID: 40270740.</w:t>
      </w:r>
    </w:p>
    <w:p>
      <w:pPr>
        <w:numPr>
          <w:ilvl w:val="0"/>
          <w:numId w:val="1001"/>
        </w:numPr>
      </w:pPr>
      <w:r>
        <w:t xml:space="preserve">Pincikova T, Merikallio H, Kotortsi I, Karimi R, Li CX, Lappi-Blanco E, et al. Expression Levels of MUC5AC and MUC5B in Airway Goblet Cells Are Associated with Traits of COPD and Progression of Chronic Airflow Limitation. Int J Mol Sci. 2024;25(24). doi:10.3390/ijms252413653. PMID: 39769414.</w:t>
      </w:r>
    </w:p>
    <w:p>
      <w:pPr>
        <w:numPr>
          <w:ilvl w:val="0"/>
          <w:numId w:val="1001"/>
        </w:numPr>
      </w:pPr>
      <w:r>
        <w:t xml:space="preserve">Silswal N, Baumlin N, Haworth S, Montgomery RN, Yoshida M, Dennis JS, et al. Therapeutic strategies to reverse cigarette smoke-induced ion channel and mucociliary dysfunction in COPD airway epithelial cells. Am J Physiol Lung Cell Mol Physiol. 2025;328(4):L571-L585. doi:10.1152/ajplung.00258.2024. PMID: 40095970.</w:t>
      </w:r>
    </w:p>
    <w:p>
      <w:pPr>
        <w:numPr>
          <w:ilvl w:val="0"/>
          <w:numId w:val="1001"/>
        </w:numPr>
      </w:pPr>
      <w:r>
        <w:t xml:space="preserve">Zhang T, Nie J, Liu X, Han Z, Ding N, Gai K, et al. Correlation Analysis Among the Level of IL-35, Microvessel Density, Lymphatic Vessel Density, and Prognosis in Non-Small Cell Lung Cancer. Clin Transl Sci. 2021;14(1):389-394. doi:10.1111/cts.12891. PMID: 33048433.</w:t>
      </w:r>
    </w:p>
    <w:p>
      <w:pPr>
        <w:numPr>
          <w:ilvl w:val="0"/>
          <w:numId w:val="1001"/>
        </w:numPr>
      </w:pPr>
      <w:r>
        <w:t xml:space="preserve">Heldin CH, Rubin K, Pietras K, Ostman A. High interstitial fluid pressure - an obstacle in cancer therapy. Nat Rev Cancer. 2004;4(10):806-13. doi:10.1038/nrc1456. PMID: 15510161.</w:t>
      </w:r>
    </w:p>
    <w:p>
      <w:pPr>
        <w:numPr>
          <w:ilvl w:val="0"/>
          <w:numId w:val="1001"/>
        </w:numPr>
      </w:pPr>
      <w:r>
        <w:t xml:space="preserve">Zhang Z, Li Y, Yan X, Song Q, Wang G, Hu Y, et al. Pretreatment lactate dehydrogenase may predict outcome of advanced non small-cell lung cancer patients treated with immune checkpoint inhibitors: A meta-analysis. Cancer Med. 2019;8(4):1467-1473. doi:10.1002/cam4.2024. PMID: 30848091.</w:t>
      </w:r>
    </w:p>
    <w:p>
      <w:pPr>
        <w:numPr>
          <w:ilvl w:val="0"/>
          <w:numId w:val="1001"/>
        </w:numPr>
      </w:pPr>
      <w:r>
        <w:t xml:space="preserve">Gong T, Liu J, Jiang J, Zhai YF, Wu CM, Ma C, et al. The role of lactate deshydrogenase levels on non-small cell lung cancer prognosis: a meta-analysis. Cell Mol Biol (Noisy-le-grand). 2019;65(1):89-93. PMID: 30782303.</w:t>
      </w:r>
    </w:p>
    <w:p>
      <w:pPr>
        <w:numPr>
          <w:ilvl w:val="0"/>
          <w:numId w:val="1001"/>
        </w:numPr>
      </w:pPr>
      <w:r>
        <w:t xml:space="preserve">Zhang Q, Gong X, Sun L, Miao L, Zhou Y. The Predictive Value of Pretreatment Lactate Dehydrogenase and Derived Neutrophil-to-Lymphocyte Ratio in Advanced Non-Small Cell Lung Cancer Patients Treated With PD-1/PD-L1 Inhibitors: A Meta-Analysis. Front Oncol. 2022;12:791496. doi:10.3389/fonc.2022.791496. PMID: 35924149.</w:t>
      </w:r>
    </w:p>
    <w:p>
      <w:pPr>
        <w:numPr>
          <w:ilvl w:val="0"/>
          <w:numId w:val="1001"/>
        </w:numPr>
      </w:pPr>
      <w:r>
        <w:t xml:space="preserve">Cao L, Zhong J, Liu Z, Jiang J, Zhu C, Liu F, et al. Increased LOXL2 expression is related to poor prognosis in lung squamous cell carcinoma. J Thorac Dis. 2024;16(1):581-592. doi:10.21037/jtd-23-1848. PMID: 38410543.</w:t>
      </w:r>
    </w:p>
    <w:p>
      <w:pPr>
        <w:numPr>
          <w:ilvl w:val="0"/>
          <w:numId w:val="1001"/>
        </w:numPr>
      </w:pPr>
      <w:r>
        <w:t xml:space="preserve">Hanamatsu Y, Yamamoto H, Iwata H, Takeuchi T. Clinicopathological features of LOXL1-expressing non-small cell lung cancer: relation to the extent of CD8(+) T-cell infiltration. Cancer Treat Res Commun. 2026;49:101392. doi:10.1016/j.ctarc.2026.101392. PMID: 42641459.</w:t>
      </w:r>
    </w:p>
    <w:p>
      <w:pPr>
        <w:numPr>
          <w:ilvl w:val="0"/>
          <w:numId w:val="1001"/>
        </w:numPr>
      </w:pPr>
      <w:r>
        <w:t xml:space="preserve">Picchi MA, Thomas CL, Grimes MJ, Dacgucon C, Yingling CM, Gao Y, et al. Reduced DNA repair capacity by lymphocytes in response to PM2.5 and wood smoke exposure predicts risk for lung cancer and COPD. Environ Res. 2026;303(Pt 2):124787. doi:10.1016/j.envres.2026.124787. PMID: 42150679.</w:t>
      </w:r>
    </w:p>
    <w:p>
      <w:pPr>
        <w:numPr>
          <w:ilvl w:val="0"/>
          <w:numId w:val="1001"/>
        </w:numPr>
      </w:pPr>
      <w:r>
        <w:t xml:space="preserve">Tan LM, Qiu CF, Zhu T, Jin YX, Li X, Yin JY, et al. Genetic Polymorphisms and Platinum-based Chemotherapy Treatment Outcomes in Patients with Non-Small Cell Lung Cancer: A Genetic Epidemiology Study Based Meta-analysis. Sci Rep. 2017;7(1):5593. doi:10.1038/s41598-017-05642-0. PMID: 28717179.</w:t>
      </w:r>
    </w:p>
    <w:p>
      <w:pPr>
        <w:numPr>
          <w:ilvl w:val="0"/>
          <w:numId w:val="1001"/>
        </w:numPr>
      </w:pPr>
      <w:r>
        <w:t xml:space="preserve">Janik J, Swoboda M, Janowska B, Cieśla JM, Gackowski D, Kowalewski J, et al. 8-Oxoguanine incision activity is impaired in lung tissues of NSCLC patients with the polymorphism of OGG1 and XRCC1 genes. Mutat Res. 2011;709-710:21-31. doi:10.1016/j.mrfmmm.2011.02.009. PMID: 21376741.</w:t>
      </w:r>
    </w:p>
    <w:p>
      <w:pPr>
        <w:numPr>
          <w:ilvl w:val="0"/>
          <w:numId w:val="1001"/>
        </w:numPr>
      </w:pPr>
      <w:r>
        <w:t xml:space="preserve">Zhou PT, Li B, Ji J, Wang MM, Gao CF. A systematic review and meta-analysis of the association between OGG1 Ser326Cys polymorphism and cancers. Med Oncol. 2015;32(2):472. doi:10.1007/s12032-014-0472-z. PMID: 25588927.</w:t>
      </w:r>
    </w:p>
    <w:p>
      <w:pPr>
        <w:numPr>
          <w:ilvl w:val="0"/>
          <w:numId w:val="1001"/>
        </w:numPr>
      </w:pPr>
      <w:r>
        <w:t xml:space="preserve">Geng P, Yao J, Zhu Y. hOGG1 Ser326Cys polymorphism and lung cancer susceptibility: a meta-analysis. Mol Biol Rep. 2014;41(4):2299-306. doi:10.1007/s11033-014-3083-z. PMID: 24435978.</w:t>
      </w:r>
    </w:p>
    <w:p>
      <w:pPr>
        <w:numPr>
          <w:ilvl w:val="0"/>
          <w:numId w:val="1001"/>
        </w:numPr>
      </w:pPr>
      <w:r>
        <w:t xml:space="preserve">Wang J, Wu P. Correlation analysis of mRNA expression and prognosis of hOGG1 gene polymorphism in patients with non-small cell lung cancer. Oncol Lett. 2019;18(3):2310-2315. doi:10.3892/ol.2019.10586. PMID: 31402936.</w:t>
      </w:r>
    </w:p>
    <w:p>
      <w:pPr>
        <w:numPr>
          <w:ilvl w:val="0"/>
          <w:numId w:val="1001"/>
        </w:numPr>
      </w:pPr>
      <w:r>
        <w:t xml:space="preserve">Yoshida K, Gowers KHC, Lee-Six H, Chandrasekharan DP, Coorens T, Maughan EF, et al. Tobacco smoking and somatic mutations in human bronchial epithelium. Nature. 2020;578(7794):266-272. doi:10.1038/s41586-020-1961-1. PMID: 31996850.</w:t>
      </w:r>
    </w:p>
    <w:p>
      <w:pPr>
        <w:numPr>
          <w:ilvl w:val="0"/>
          <w:numId w:val="1001"/>
        </w:numPr>
      </w:pPr>
      <w:r>
        <w:t xml:space="preserve">Moro-Sibilot D, Fievet F, Jeanmart M, Lantuejoul S, Arbib F, Laverribre MH, et al. Clinical prognostic indicators of high-grade pre-invasive bronchial lesions. Eur Respir J. 2004;24(1):24-9. doi:10.1183/09031936.04.00065303. PMID: 15293601.</w:t>
      </w:r>
    </w:p>
    <w:p>
      <w:pPr>
        <w:numPr>
          <w:ilvl w:val="0"/>
          <w:numId w:val="1001"/>
        </w:numPr>
      </w:pPr>
      <w:r>
        <w:t xml:space="preserve">Ishizumi T, McWilliams A, MacAulay C, Gazdar A, Lam S. Natural history of bronchial preinvasive lesions. Cancer Metastasis Rev. 2010;29(1):5-14. doi:10.1007/s10555-010-9214-7. PMID: 20112052.</w:t>
      </w:r>
    </w:p>
    <w:p>
      <w:pPr>
        <w:numPr>
          <w:ilvl w:val="0"/>
          <w:numId w:val="1001"/>
        </w:numPr>
      </w:pPr>
      <w:r>
        <w:t xml:space="preserve">Kakinuma R, Noguchi M, Ashizawa K, Kuriyama K, Maeshima AM, Koizumi N, et al. Natural History of Pulmonary Subsolid Nodules: A Prospective Multicenter Study. J Thorac Oncol. 2016;11(7):1012-28. doi:10.1016/j.jtho.2016.04.006. PMID: 27089851.</w:t>
      </w:r>
    </w:p>
    <w:p>
      <w:pPr>
        <w:numPr>
          <w:ilvl w:val="0"/>
          <w:numId w:val="1001"/>
        </w:numPr>
      </w:pPr>
      <w:r>
        <w:t xml:space="preserve">Fu F, Shang J, Yan Y, Jiang H, Han H, Yuan H, et al. Genomic and transcriptomic dynamics in the stepwise progression of lung adenocarcinoma. Cell Res. 2025;35(12):1037-1055. doi:10.1038/s41422-025-01200-w. PMID: 41345544.</w:t>
      </w:r>
    </w:p>
    <w:p>
      <w:pPr>
        <w:numPr>
          <w:ilvl w:val="0"/>
          <w:numId w:val="1001"/>
        </w:numPr>
      </w:pPr>
      <w:r>
        <w:t xml:space="preserve">Chen H, Carrot-Zhang J, Zhao Y, Hu H, Freeman SS, Yu S, et al. Genomic and immune profiling of pre-invasive lung adenocarcinoma. Nat Commun. 2019;10(1):5472. doi:10.1038/s41467-019-13460-3. PMID: 31784532.</w:t>
      </w:r>
    </w:p>
    <w:p>
      <w:pPr>
        <w:numPr>
          <w:ilvl w:val="0"/>
          <w:numId w:val="1001"/>
        </w:numPr>
      </w:pPr>
      <w:r>
        <w:t xml:space="preserve">Hu X, Estecio MR, Chen R, Reuben A, Wang L, Fujimoto J, et al. Evolution of DNA methylome from precancerous lesions to invasive lung adenocarcinomas. Nat Commun. 2021;12(1):687. doi:10.1038/s41467-021-20907-z. PMID: 33514726.</w:t>
      </w:r>
    </w:p>
    <w:p>
      <w:pPr>
        <w:numPr>
          <w:ilvl w:val="0"/>
          <w:numId w:val="1001"/>
        </w:numPr>
      </w:pPr>
      <w:r>
        <w:t xml:space="preserve">Liu H, Fu X, Ye M, Wang Z, Hu B, Wu S, et al. Growth Patterns and Risk Stratification of Incidental Small Pure Ground-Glass Nodules across Independent Cohorts. Radiology. 2026;320(2):e253139. doi:10.1148/radiol.253139. PMID: 42640190.</w:t>
      </w:r>
    </w:p>
    <w:p>
      <w:pPr>
        <w:numPr>
          <w:ilvl w:val="0"/>
          <w:numId w:val="1001"/>
        </w:numPr>
      </w:pPr>
      <w:r>
        <w:t xml:space="preserve">Ma Z, Wang Z, Li Y, Zhang Y, Chen H. Detection and treatment of lung adenocarcinoma at pre-/minimally invasive stage: is it lead-time bias?. J Cancer Res Clin Oncol. 2022;148(10):2717-2722. doi:10.1007/s00432-022-04031-z. PMID: 35524781.</w:t>
      </w:r>
    </w:p>
    <w:p>
      <w:pPr>
        <w:numPr>
          <w:ilvl w:val="0"/>
          <w:numId w:val="1001"/>
        </w:numPr>
      </w:pPr>
      <w:r>
        <w:t xml:space="preserve">Clément-Duchêne C, Alla F, Gauchotte G, Marie B, Carnin C, Menard O, et al. Is there a relationship between the presence of lung mucosa preinvasive lesions and lung cancer incidence? Influence of tobacco consumption. Lung Cancer. 2014;84(2):134-8. doi:10.1016/j.lungcan.2014.02.003. PMID: 24589076.</w:t>
      </w:r>
    </w:p>
    <w:p>
      <w:pPr>
        <w:numPr>
          <w:ilvl w:val="0"/>
          <w:numId w:val="1001"/>
        </w:numPr>
      </w:pPr>
      <w:r>
        <w:t xml:space="preserve">Jonsson S, Franklin WA, Varella-Garcia M, Kennedy TC, Merrick D, Matney KD, et al. Prevalence, molecular markers, and outcome of bronchial squamous carcinoma in situ in high-risk subjects. APMIS. 2023;131(10):513-527. doi:10.1111/apm.13345. PMID: 37608782.</w:t>
      </w:r>
    </w:p>
    <w:p>
      <w:pPr>
        <w:numPr>
          <w:ilvl w:val="0"/>
          <w:numId w:val="1001"/>
        </w:numPr>
      </w:pPr>
      <w:r>
        <w:t xml:space="preserve">van Boerdonk RA, Smesseim I, Heideman DA, Coupé VM, Tio D, Grünberg K, et al. Close Surveillance with Long-Term Follow-up of Subjects with Preinvasive Endobronchial Lesions. Am J Respir Crit Care Med. 2015;192(12):1483-9. doi:10.1164/rccm.201504-0822OC. PMID: 26275031.</w:t>
      </w:r>
    </w:p>
    <w:p>
      <w:pPr>
        <w:numPr>
          <w:ilvl w:val="0"/>
          <w:numId w:val="1001"/>
        </w:numPr>
      </w:pPr>
      <w:r>
        <w:t xml:space="preserve">Smesseim I, van Boerdonk RA, Dickhoff C, Heineman DJ, Dahele MR, Radonic T, et al. Focal (18) F-FDG uptake predicts progression of pre-invasive squamous bronchial lesions to invasive cancers. Thorac Cancer. 2023;14(9):840-847. doi:10.1111/1759-7714.14815. PMID: 36802171.</w:t>
      </w:r>
    </w:p>
    <w:p>
      <w:pPr>
        <w:numPr>
          <w:ilvl w:val="0"/>
          <w:numId w:val="1001"/>
        </w:numPr>
      </w:pPr>
      <w:r>
        <w:t xml:space="preserve">Smesseim I, Pennycuick A, van Boerdonk RA, Janes SM, Daniels JMA. Management of high-grade pre-invasive endobronchial lesions: To treat or not to treat?. Lung Cancer. 2025;208:108757. doi:10.1016/j.lungcan.2025.108757. PMID: 40967133.</w:t>
      </w:r>
    </w:p>
    <w:p>
      <w:pPr>
        <w:numPr>
          <w:ilvl w:val="0"/>
          <w:numId w:val="1001"/>
        </w:numPr>
      </w:pPr>
      <w:r>
        <w:t xml:space="preserve">Akwiwu EU, Coupé VMH, Berkhof J, Klausch T. A Comparison of Methods for Modeling Multistate Cancer Progression Using Screening Data with Censoring after Intervention. Med Decis Making. 2026;46(5):575-590. doi:10.1177/0272989X261422681. PMID: 41821401.</w:t>
      </w:r>
    </w:p>
    <w:p>
      <w:pPr>
        <w:numPr>
          <w:ilvl w:val="0"/>
          <w:numId w:val="1001"/>
        </w:numPr>
      </w:pPr>
      <w:r>
        <w:t xml:space="preserve">Nargund RS, Ishizawa S, Eghbalizarch M, Yeh P, Mousavi Janbeh Saray SM, Nofal S, et al. Natural history models for lung Cancer: A scoping review. Lung Cancer. 2025;203:108495. doi:10.1016/j.lungcan.2025.108495. PMID: 40174386.</w:t>
      </w:r>
    </w:p>
    <w:p>
      <w:pPr>
        <w:numPr>
          <w:ilvl w:val="0"/>
          <w:numId w:val="1001"/>
        </w:numPr>
      </w:pPr>
      <w:r>
        <w:t xml:space="preserve">Chrysanthopoulou SA, Rutter CM, Gatsonis CA. Bayesian versus Empirical Calibration of Microsimulation Models: A Comparative Analysis. Med Decis Making. 2021;41(6):714-726. doi:10.1177/0272989X211009161. PMID: 33966518.</w:t>
      </w:r>
    </w:p>
    <w:p>
      <w:pPr>
        <w:numPr>
          <w:ilvl w:val="0"/>
          <w:numId w:val="1001"/>
        </w:numPr>
      </w:pPr>
      <w:r>
        <w:t xml:space="preserve">Raue A, Kreutz C, Maiwald T, Bachmann J, Schilling M, Klingmüller U, et al. Structural and practical identifiability analysis of partially observed dynamical models by exploiting the profile likelihood. Bioinformatics. 2009;25(15):1923-9. doi:10.1093/bioinformatics/btp358. PMID: 19505944.</w:t>
      </w:r>
    </w:p>
    <w:p>
      <w:pPr>
        <w:numPr>
          <w:ilvl w:val="0"/>
          <w:numId w:val="1001"/>
        </w:numPr>
      </w:pPr>
      <w:r>
        <w:t xml:space="preserve">de Nijs K, Ten Haaf K, Hubert J, Moldovanu D, van der Aalst CM, Groen HJM, et al. Stage- and histology-specific sensitivity for the detection of lung cancer of the NELSON screening protocol-A modeling study. Int J Cancer. 2025;157(11):2248-2258. doi:10.1002/ijc.70045. PMID: 40650354.</w:t>
      </w:r>
    </w:p>
    <w:p>
      <w:pPr>
        <w:numPr>
          <w:ilvl w:val="0"/>
          <w:numId w:val="1001"/>
        </w:numPr>
      </w:pPr>
      <w:r>
        <w:t xml:space="preserve">Aswani N, Park J, Lim F, Prest MT, Ferris JS, Yang JY, et al. Projected impact of population-level multi-cancer early detection screening: a discrete event simulation analysis. J Natl Cancer Inst. 2026;. doi:10.1093/jnci/djag356. PMID: 42836653.</w:t>
      </w:r>
    </w:p>
    <w:p>
      <w:pPr>
        <w:numPr>
          <w:ilvl w:val="0"/>
          <w:numId w:val="1001"/>
        </w:numPr>
      </w:pPr>
      <w:r>
        <w:t xml:space="preserve">Ten Haaf K, van Rosmalen J, de Koning HJ. Lung cancer detectability by test, histology, stage, and gender: estimates from the NLST and the PLCO trials. Cancer Epidemiol Biomarkers Prev. 2015;24(1):154-61. doi:10.1158/1055-9965.EPI-14-0745. PMID: 25312998.</w:t>
      </w:r>
    </w:p>
    <w:p>
      <w:pPr>
        <w:numPr>
          <w:ilvl w:val="0"/>
          <w:numId w:val="1001"/>
        </w:numPr>
      </w:pPr>
      <w:r>
        <w:t xml:space="preserve">McMahon PM, Kong CY, Johnson BE, Weinstein MC, Weeks JC, Tramontano AC, et al. Chapter 9: The MGH-HMS lung cancer policy model: tobacco control versus screening. Risk Anal. 2012;32 Suppl 1(Suppl 1):S117-24. doi:10.1111/j.1539-6924.2011.01652.x. PMID: 22882882.</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2026-11-03T14:04:56Z</dcterms:created>
  <dcterms:modified xsi:type="dcterms:W3CDTF">2026-11-03T14:04:56Z</dcterms:modified>
</cp:coreProperties>
</file>

<file path=docProps/custom.xml><?xml version="1.0" encoding="utf-8"?>
<Properties xmlns="http://schemas.openxmlformats.org/officeDocument/2006/custom-properties" xmlns:vt="http://schemas.openxmlformats.org/officeDocument/2006/docPropsVTypes"/>
</file>