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360" w:lineRule="auto"/>
        <w:rPr>
          <w:rFonts w:ascii="Times New Roman" w:hAnsi="Times New Roman" w:eastAsia="Times New Roman" w:cs="Times New Roman"/>
          <w:b/>
          <w:color w:val="000000"/>
        </w:rPr>
      </w:pPr>
      <w:r>
        <w:rPr>
          <w:rFonts w:ascii="Times New Roman" w:hAnsi="Times New Roman" w:eastAsia="Times New Roman" w:cs="Times New Roman"/>
          <w:b/>
          <w:color w:val="000000"/>
        </w:rPr>
        <w:t>Supplementary Materials</w:t>
      </w:r>
    </w:p>
    <w:p>
      <w:pPr>
        <w:spacing w:after="160" w:line="360" w:lineRule="auto"/>
        <w:rPr>
          <w:rFonts w:ascii="Times New Roman" w:hAnsi="Times New Roman" w:eastAsia="Times New Roman" w:cs="Times New Roman"/>
          <w:b/>
          <w:color w:val="2E2E2E"/>
        </w:rPr>
      </w:pPr>
      <w:r>
        <w:rPr>
          <w:rFonts w:ascii="Times New Roman" w:hAnsi="Times New Roman" w:eastAsia="Times New Roman" w:cs="Times New Roman"/>
          <w:b/>
          <w:color w:val="000000"/>
        </w:rPr>
        <w:t>MATERIALS AND METHODS</w:t>
      </w:r>
      <w:r>
        <w:rPr>
          <w:rFonts w:ascii="Times New Roman" w:hAnsi="Times New Roman" w:eastAsia="Times New Roman" w:cs="Times New Roman"/>
          <w:b/>
          <w:color w:val="2E2E2E"/>
        </w:rPr>
        <w:t xml:space="preserve"> </w:t>
      </w:r>
    </w:p>
    <w:p>
      <w:pPr>
        <w:spacing w:line="360" w:lineRule="auto"/>
        <w:rPr>
          <w:rFonts w:ascii="Times New Roman" w:hAnsi="Times New Roman" w:eastAsia="Times New Roman" w:cs="Times New Roman"/>
          <w:b/>
        </w:rPr>
      </w:pPr>
      <w:r>
        <w:rPr>
          <w:rFonts w:ascii="Times New Roman" w:hAnsi="Times New Roman" w:eastAsia="Times New Roman" w:cs="Times New Roman"/>
          <w:b/>
        </w:rPr>
        <w:t>Construction of APAP acute liver injury model</w:t>
      </w:r>
    </w:p>
    <w:p>
      <w:pPr>
        <w:spacing w:line="360" w:lineRule="auto"/>
        <w:rPr>
          <w:rFonts w:ascii="Times New Roman" w:hAnsi="Times New Roman" w:eastAsia="Times New Roman" w:cs="Times New Roman"/>
        </w:rPr>
      </w:pPr>
      <w:r>
        <w:rPr>
          <w:rFonts w:ascii="Times New Roman" w:hAnsi="Times New Roman" w:eastAsia="Times New Roman" w:cs="Times New Roman"/>
        </w:rPr>
        <w:t xml:space="preserve">To establish an acute liver injury (ALI) model of carbon tetrachloride </w:t>
      </w:r>
      <w:r>
        <w:rPr>
          <w:rFonts w:ascii="Times New Roman" w:hAnsi="Times New Roman" w:eastAsia="Calibri" w:cs="Calibri"/>
          <w:i/>
        </w:rPr>
        <w:t>in vivo</w:t>
      </w:r>
      <w:r>
        <w:rPr>
          <w:rFonts w:ascii="Times New Roman" w:hAnsi="Times New Roman" w:eastAsia="Times New Roman" w:cs="Times New Roman"/>
        </w:rPr>
        <w:t>, male C57BL/6 mice were intraperitoneally injected with 250 mg/kg APAP. Mice in the control group were intraperitoneally injected with the same volume of normal saline. At the designated time point after injection, the mice were anesthetized with isoflurane, and blood was collected from the ocular vein. The mice were euthanized, and the livers were removed. All animal experimental protocols used in this study were conducted under the standards of the Ethics Committee of Inner Mongolia Medical University (SCXK2016-0001).</w:t>
      </w:r>
    </w:p>
    <w:p>
      <w:pPr>
        <w:spacing w:line="360" w:lineRule="auto"/>
        <w:rPr>
          <w:rFonts w:ascii="Times New Roman" w:hAnsi="Times New Roman" w:eastAsia="Times New Roman" w:cs="Times New Roman"/>
          <w:b/>
        </w:rPr>
      </w:pPr>
      <w:r>
        <w:rPr>
          <w:rFonts w:ascii="Times New Roman" w:hAnsi="Times New Roman" w:eastAsia="Times New Roman" w:cs="Times New Roman"/>
          <w:b/>
        </w:rPr>
        <w:t xml:space="preserve">S100A6 stimulates Kuffer cells </w:t>
      </w:r>
      <w:r>
        <w:rPr>
          <w:rFonts w:ascii="Times New Roman" w:hAnsi="Times New Roman" w:eastAsia="Times New Roman" w:cs="Times New Roman"/>
          <w:b/>
          <w:i/>
        </w:rPr>
        <w:t>in vitro</w:t>
      </w:r>
    </w:p>
    <w:p>
      <w:pPr>
        <w:spacing w:line="360" w:lineRule="auto"/>
        <w:rPr>
          <w:rFonts w:ascii="Times New Roman" w:hAnsi="Times New Roman" w:eastAsia="Times New Roman" w:cs="Times New Roman"/>
          <w:b/>
        </w:rPr>
      </w:pPr>
      <w:r>
        <w:rPr>
          <w:rFonts w:ascii="Times New Roman" w:hAnsi="Times New Roman" w:eastAsia="Times New Roman" w:cs="Times New Roman"/>
        </w:rPr>
        <w:t>Kuffer cells were harvested at the exponential growth phase, prepared into a suspension of 1 × 10</w:t>
      </w:r>
      <w:r>
        <w:rPr>
          <w:rFonts w:ascii="Times New Roman" w:hAnsi="Times New Roman" w:eastAsia="Times New Roman" w:cs="Times New Roman"/>
          <w:vertAlign w:val="superscript"/>
        </w:rPr>
        <w:t xml:space="preserve">6 </w:t>
      </w:r>
      <w:r>
        <w:rPr>
          <w:rFonts w:ascii="Times New Roman" w:hAnsi="Times New Roman" w:eastAsia="Times New Roman" w:cs="Times New Roman"/>
        </w:rPr>
        <w:t>cells/mL, and 100 μL of this suspension was added to each well of six plates. After the cells adhered to the wall, 2, 4, and 6 µg/mL S100A6, respectively, and cellular RNA was collected at 1, 2, and 3 h.</w:t>
      </w:r>
    </w:p>
    <w:p>
      <w:pPr>
        <w:spacing w:line="360" w:lineRule="auto"/>
        <w:rPr>
          <w:rFonts w:ascii="Times New Roman" w:hAnsi="Times New Roman" w:eastAsia="Times New Roman" w:cs="Times New Roman"/>
          <w:b/>
        </w:rPr>
      </w:pPr>
    </w:p>
    <w:p>
      <w:pPr>
        <w:spacing w:line="360" w:lineRule="auto"/>
        <w:rPr>
          <w:rFonts w:ascii="Times New Roman" w:hAnsi="Times New Roman" w:eastAsia="Times New Roman" w:cs="Times New Roman"/>
          <w:b/>
        </w:rPr>
      </w:pPr>
      <w:r>
        <w:rPr>
          <w:rFonts w:ascii="Times New Roman" w:hAnsi="Times New Roman" w:eastAsia="Times New Roman" w:cs="Times New Roman"/>
          <w:b/>
        </w:rPr>
        <w:t>Results</w:t>
      </w:r>
    </w:p>
    <w:p>
      <w:pPr>
        <w:widowControl/>
        <w:spacing w:before="180" w:after="180" w:line="360" w:lineRule="auto"/>
        <w:jc w:val="left"/>
        <w:rPr>
          <w:rFonts w:ascii="Times New Roman" w:hAnsi="Times New Roman" w:eastAsia="Times New Roman" w:cs="Times New Roman"/>
          <w:b/>
          <w:color w:val="000000"/>
        </w:rPr>
      </w:pPr>
      <w:r>
        <w:rPr>
          <w:rFonts w:ascii="Times New Roman" w:hAnsi="Times New Roman" w:eastAsia="Times New Roman" w:cs="Times New Roman"/>
          <w:b/>
          <w:color w:val="000000"/>
        </w:rPr>
        <w:t>Severe inflammation during acute liver injury</w:t>
      </w:r>
    </w:p>
    <w:p>
      <w:pPr>
        <w:spacing w:line="360" w:lineRule="auto"/>
        <w:rPr>
          <w:rFonts w:ascii="Times New Roman" w:hAnsi="Times New Roman" w:eastAsia="Times New Roman" w:cs="Times New Roman"/>
        </w:rPr>
      </w:pPr>
      <w:r>
        <w:rPr>
          <w:rFonts w:ascii="Times New Roman" w:hAnsi="Times New Roman" w:eastAsia="Times New Roman" w:cs="Times New Roman"/>
        </w:rPr>
        <w:t>After we detected that the APAP ALI model was successfully constructed, we also detected the number of macrophages in the liver. Flow cytometry results showed that the number of macrophages increased significantly on the fifth day after APAP ALI (Figure S1A). Further transcription data showed that APAP ALI was accompanied by severe inflammation (Figure S1B).</w:t>
      </w:r>
    </w:p>
    <w:p>
      <w:pPr>
        <w:spacing w:line="360" w:lineRule="auto"/>
        <w:rPr>
          <w:rFonts w:ascii="Times New Roman" w:hAnsi="Times New Roman" w:eastAsia="Times New Roman" w:cs="Times New Roman"/>
        </w:rPr>
      </w:pPr>
      <w:r>
        <w:rPr>
          <w:lang w:val="en-GB" w:eastAsia="en-GB"/>
        </w:rPr>
        <w:drawing>
          <wp:inline distT="0" distB="0" distL="114300" distR="114300">
            <wp:extent cx="5270500" cy="5186045"/>
            <wp:effectExtent l="0" t="0" r="6350" b="14605"/>
            <wp:docPr id="2" name="图片 4"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FIG-S1"/>
                    <pic:cNvPicPr>
                      <a:picLocks noChangeAspect="1"/>
                    </pic:cNvPicPr>
                  </pic:nvPicPr>
                  <pic:blipFill>
                    <a:blip r:embed="rId4"/>
                    <a:stretch>
                      <a:fillRect/>
                    </a:stretch>
                  </pic:blipFill>
                  <pic:spPr>
                    <a:xfrm>
                      <a:off x="0" y="0"/>
                      <a:ext cx="5270500" cy="5186045"/>
                    </a:xfrm>
                    <a:prstGeom prst="rect">
                      <a:avLst/>
                    </a:prstGeom>
                  </pic:spPr>
                </pic:pic>
              </a:graphicData>
            </a:graphic>
          </wp:inline>
        </w:drawing>
      </w:r>
    </w:p>
    <w:p>
      <w:pPr>
        <w:spacing w:line="360" w:lineRule="auto"/>
        <w:rPr>
          <w:rFonts w:ascii="Times New Roman" w:hAnsi="Times New Roman" w:eastAsia="Times New Roman" w:cs="Times New Roman"/>
          <w:b/>
          <w:color w:val="FF0000"/>
        </w:rPr>
      </w:pPr>
      <w:r>
        <w:rPr>
          <w:rFonts w:ascii="Times New Roman" w:hAnsi="Times New Roman" w:eastAsia="Times New Roman" w:cs="Times New Roman"/>
          <w:b/>
        </w:rPr>
        <w:t xml:space="preserve">S1 </w:t>
      </w:r>
      <w:r>
        <w:rPr>
          <w:rFonts w:ascii="Times New Roman" w:hAnsi="Times New Roman" w:eastAsia="Times New Roman" w:cs="Times New Roman"/>
          <w:b/>
          <w:color w:val="000000"/>
        </w:rPr>
        <w:t>Severe inflammation during acute liver injury</w:t>
      </w:r>
    </w:p>
    <w:p>
      <w:pPr>
        <w:spacing w:line="36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FACS (fluorescence-activated cell sorting) analysis of the percentage and number of macrophages in the liver (2d、5d、7d、14d) (n = 5). (B) KEGG and GO analyses were used to analyze the upregulation of differential genes on the fifth day after ALI (2d、5d) (n = 5). </w:t>
      </w:r>
      <w:r>
        <w:rPr>
          <w:rFonts w:ascii="Times New Roman" w:hAnsi="Times New Roman" w:eastAsia="Times New Roman" w:cs="Times New Roman"/>
        </w:rPr>
        <w:t xml:space="preserve">* </w:t>
      </w:r>
      <w:r>
        <w:rPr>
          <w:rFonts w:ascii="Times New Roman" w:hAnsi="Times New Roman" w:eastAsia="Calibri" w:cs="Calibri"/>
          <w:i/>
        </w:rPr>
        <w:t>p</w:t>
      </w:r>
      <w:r>
        <w:rPr>
          <w:rFonts w:ascii="Times New Roman" w:hAnsi="Times New Roman" w:eastAsia="Times New Roman" w:cs="Times New Roman"/>
        </w:rPr>
        <w:t xml:space="preserve"> &lt; 0.05, ** </w:t>
      </w:r>
      <w:r>
        <w:rPr>
          <w:rFonts w:ascii="Times New Roman" w:hAnsi="Times New Roman" w:eastAsia="Calibri" w:cs="Calibri"/>
          <w:i/>
        </w:rPr>
        <w:t>p</w:t>
      </w:r>
      <w:r>
        <w:rPr>
          <w:rFonts w:ascii="Times New Roman" w:hAnsi="Times New Roman" w:eastAsia="Times New Roman" w:cs="Times New Roman"/>
        </w:rPr>
        <w:t xml:space="preserve"> &lt; 0.01, *** </w:t>
      </w:r>
      <w:r>
        <w:rPr>
          <w:rFonts w:ascii="Times New Roman" w:hAnsi="Times New Roman" w:eastAsia="Calibri" w:cs="Calibri"/>
          <w:i/>
        </w:rPr>
        <w:t>p</w:t>
      </w:r>
      <w:r>
        <w:rPr>
          <w:rFonts w:ascii="Times New Roman" w:hAnsi="Times New Roman" w:eastAsia="Times New Roman" w:cs="Times New Roman"/>
        </w:rPr>
        <w:t xml:space="preserve"> &lt; 0.001 or ns (not significant).</w:t>
      </w:r>
    </w:p>
    <w:p>
      <w:pPr>
        <w:spacing w:line="360" w:lineRule="auto"/>
        <w:rPr>
          <w:rFonts w:ascii="Times New Roman" w:hAnsi="Times New Roman" w:eastAsia="Times New Roman" w:cs="Times New Roman"/>
          <w:b/>
          <w:color w:val="000000"/>
        </w:rPr>
      </w:pPr>
      <w:r>
        <w:rPr>
          <w:rFonts w:ascii="Times New Roman" w:hAnsi="Times New Roman" w:eastAsia="Times New Roman" w:cs="Times New Roman"/>
          <w:b/>
          <w:color w:val="000000"/>
        </w:rPr>
        <w:t>S100A protein increased significantly on the second day of acute liver injury</w:t>
      </w:r>
    </w:p>
    <w:p>
      <w:pPr>
        <w:spacing w:line="36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also analyzed S100A family proteins in the APAP ALI model. </w:t>
      </w:r>
      <w:r>
        <w:rPr>
          <w:rFonts w:ascii="Times New Roman" w:hAnsi="Times New Roman" w:eastAsia="Times New Roman" w:cs="Times New Roman"/>
        </w:rPr>
        <w:t xml:space="preserve">Further transcriptome sequencing results showed that A6, A11, A8, A10, A9, A3, and A4 in the S100A protein family increased significantly on the second day after injury. Among them, the expression of S100A6 in normal liver tissues was not very high, but the increase in ALI was most significant on the second day. (Figure S2). </w:t>
      </w:r>
    </w:p>
    <w:p>
      <w:pPr>
        <w:spacing w:line="360" w:lineRule="auto"/>
        <w:rPr>
          <w:rFonts w:ascii="Times New Roman" w:hAnsi="Times New Roman" w:eastAsia="Times New Roman" w:cs="Times New Roman"/>
        </w:rPr>
      </w:pPr>
    </w:p>
    <w:p>
      <w:pPr>
        <w:spacing w:line="360" w:lineRule="auto"/>
        <w:jc w:val="left"/>
        <w:rPr>
          <w:rFonts w:ascii="Times New Roman" w:hAnsi="Times New Roman" w:eastAsia="Times New Roman" w:cs="Times New Roman"/>
          <w:b/>
          <w:color w:val="FF0000"/>
        </w:rPr>
      </w:pPr>
      <w:r>
        <w:rPr>
          <w:lang w:val="en-GB" w:eastAsia="en-GB"/>
        </w:rPr>
        <w:drawing>
          <wp:inline distT="0" distB="0" distL="114300" distR="114300">
            <wp:extent cx="5274310" cy="5313680"/>
            <wp:effectExtent l="0" t="0" r="2540" b="1270"/>
            <wp:docPr id="3" name="图片 7"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FIG-S2"/>
                    <pic:cNvPicPr>
                      <a:picLocks noChangeAspect="1"/>
                    </pic:cNvPicPr>
                  </pic:nvPicPr>
                  <pic:blipFill>
                    <a:blip r:embed="rId5"/>
                    <a:stretch>
                      <a:fillRect/>
                    </a:stretch>
                  </pic:blipFill>
                  <pic:spPr>
                    <a:xfrm>
                      <a:off x="0" y="0"/>
                      <a:ext cx="5274310" cy="5313680"/>
                    </a:xfrm>
                    <a:prstGeom prst="rect">
                      <a:avLst/>
                    </a:prstGeom>
                  </pic:spPr>
                </pic:pic>
              </a:graphicData>
            </a:graphic>
          </wp:inline>
        </w:drawing>
      </w:r>
    </w:p>
    <w:p>
      <w:pPr>
        <w:spacing w:line="360" w:lineRule="auto"/>
        <w:rPr>
          <w:rFonts w:ascii="Times New Roman" w:hAnsi="Times New Roman" w:eastAsia="Times New Roman" w:cs="Times New Roman"/>
          <w:b/>
          <w:color w:val="000000"/>
        </w:rPr>
      </w:pPr>
      <w:r>
        <w:rPr>
          <w:rFonts w:ascii="Times New Roman" w:hAnsi="Times New Roman" w:eastAsia="Times New Roman" w:cs="Times New Roman"/>
          <w:b/>
          <w:color w:val="000000"/>
        </w:rPr>
        <w:t>S100A6 protein increased significantly on the second day of acute liver injury</w:t>
      </w:r>
    </w:p>
    <w:p>
      <w:pPr>
        <w:spacing w:line="36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(A) Hierarchical clustering of S100 genes (2d and 5d) (n = 5). (B) Significant order of difference between S100 genes (2d and 5d) (n = 5). (C) Expression levels of S100A genes. (D) qRT-PCR analysis of the expression of S100A6 (2d、5d、7d、14d) (n = 5). </w:t>
      </w:r>
      <w:r>
        <w:rPr>
          <w:rFonts w:ascii="Times New Roman" w:hAnsi="Times New Roman" w:eastAsia="Times New Roman" w:cs="Times New Roman"/>
        </w:rPr>
        <w:t xml:space="preserve">* </w:t>
      </w:r>
      <w:r>
        <w:rPr>
          <w:rFonts w:ascii="Times New Roman" w:hAnsi="Times New Roman" w:eastAsia="Calibri" w:cs="Calibri"/>
          <w:i/>
        </w:rPr>
        <w:t>p</w:t>
      </w:r>
      <w:r>
        <w:rPr>
          <w:rFonts w:ascii="Times New Roman" w:hAnsi="Times New Roman" w:eastAsia="Times New Roman" w:cs="Times New Roman"/>
        </w:rPr>
        <w:t xml:space="preserve"> &lt; 0.05, ** </w:t>
      </w:r>
      <w:r>
        <w:rPr>
          <w:rFonts w:ascii="Times New Roman" w:hAnsi="Times New Roman" w:eastAsia="Calibri" w:cs="Calibri"/>
          <w:i/>
        </w:rPr>
        <w:t>p</w:t>
      </w:r>
      <w:r>
        <w:rPr>
          <w:rFonts w:ascii="Times New Roman" w:hAnsi="Times New Roman" w:eastAsia="Times New Roman" w:cs="Times New Roman"/>
        </w:rPr>
        <w:t xml:space="preserve"> &lt; 0.01, *** </w:t>
      </w:r>
      <w:r>
        <w:rPr>
          <w:rFonts w:ascii="Times New Roman" w:hAnsi="Times New Roman" w:eastAsia="Calibri" w:cs="Calibri"/>
          <w:i/>
        </w:rPr>
        <w:t>p</w:t>
      </w:r>
      <w:r>
        <w:rPr>
          <w:rFonts w:ascii="Times New Roman" w:hAnsi="Times New Roman" w:eastAsia="Times New Roman" w:cs="Times New Roman"/>
        </w:rPr>
        <w:t xml:space="preserve"> &lt; 0.001 or ns (not significant).</w:t>
      </w:r>
    </w:p>
    <w:p>
      <w:pPr>
        <w:spacing w:line="360" w:lineRule="auto"/>
        <w:rPr>
          <w:rFonts w:ascii="Times New Roman" w:hAnsi="Times New Roman" w:eastAsia="Times New Roman" w:cs="Times New Roman"/>
          <w:b/>
        </w:rPr>
      </w:pPr>
      <w:r>
        <w:rPr>
          <w:rFonts w:ascii="Times New Roman" w:hAnsi="Times New Roman" w:eastAsia="Times New Roman" w:cs="Times New Roman"/>
          <w:b/>
        </w:rPr>
        <w:t>S100A6 stimulates Kuffer cells to produce TNF-α</w:t>
      </w:r>
    </w:p>
    <w:p>
      <w:pPr>
        <w:spacing w:line="360" w:lineRule="auto"/>
        <w:rPr>
          <w:rFonts w:ascii="Times New Roman" w:hAnsi="Times New Roman" w:eastAsia="Times New Roman" w:cs="Times New Roman"/>
        </w:rPr>
      </w:pPr>
      <w:r>
        <w:rPr>
          <w:rFonts w:ascii="Times New Roman" w:hAnsi="Times New Roman" w:eastAsia="Times New Roman" w:cs="Times New Roman"/>
        </w:rPr>
        <w:t>As shown in Figure S3A, S100A6 stimulated Kuffer cells to produce TNF-α at different time points. When the concentration of S100A6 was 6ug/mL and the time was 2h, the expression of TNF-α reached its highest level (Figure S3A). To further determine the source of the chemokine CCL2, we compared the expression of CCL2 stimulated by S100A6 in Kuffer cells, the cell supernatant (supernatant of S100A6 stimulated by Kuffer cells) stimulated FL83B cells, and TNF-α stimulated FL83B cells (Figure S3B). The results showed that TNF-α stimulated the production of CCL2 by liver cells, which is one of the reasons for the entry of monocytes/macrophages.</w:t>
      </w:r>
    </w:p>
    <w:p>
      <w:pPr>
        <w:spacing w:after="160" w:line="360" w:lineRule="auto"/>
        <w:jc w:val="left"/>
        <w:rPr>
          <w:rFonts w:ascii="Times New Roman" w:hAnsi="Times New Roman" w:eastAsia="Times New Roman" w:cs="Times New Roman"/>
          <w:b/>
        </w:rPr>
      </w:pPr>
    </w:p>
    <w:p>
      <w:pPr>
        <w:spacing w:after="160" w:line="360" w:lineRule="auto"/>
        <w:ind w:left="480" w:hanging="480"/>
        <w:jc w:val="left"/>
        <w:rPr>
          <w:rFonts w:ascii="Times New Roman" w:hAnsi="Times New Roman" w:eastAsia="Times New Roman" w:cs="Times New Roman"/>
          <w:b/>
        </w:rPr>
      </w:pPr>
      <w:r>
        <w:rPr>
          <w:lang w:val="en-GB" w:eastAsia="en-GB"/>
        </w:rPr>
        <w:drawing>
          <wp:inline distT="0" distB="0" distL="114300" distR="114300">
            <wp:extent cx="5269230" cy="2786380"/>
            <wp:effectExtent l="0" t="0" r="7620" b="13970"/>
            <wp:docPr id="439430718" name="图片 6"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30718" name="图片 6" descr="FIG-S3"/>
                    <pic:cNvPicPr>
                      <a:picLocks noChangeAspect="1"/>
                    </pic:cNvPicPr>
                  </pic:nvPicPr>
                  <pic:blipFill>
                    <a:blip r:embed="rId6"/>
                    <a:stretch>
                      <a:fillRect/>
                    </a:stretch>
                  </pic:blipFill>
                  <pic:spPr>
                    <a:xfrm>
                      <a:off x="0" y="0"/>
                      <a:ext cx="5269230" cy="2786380"/>
                    </a:xfrm>
                    <a:prstGeom prst="rect">
                      <a:avLst/>
                    </a:prstGeom>
                  </pic:spPr>
                </pic:pic>
              </a:graphicData>
            </a:graphic>
          </wp:inline>
        </w:drawing>
      </w:r>
    </w:p>
    <w:p>
      <w:pPr>
        <w:spacing w:line="360" w:lineRule="auto"/>
        <w:rPr>
          <w:rFonts w:ascii="Times New Roman" w:hAnsi="Times New Roman" w:eastAsia="Times New Roman" w:cs="Times New Roman"/>
          <w:b/>
        </w:rPr>
      </w:pPr>
      <w:r>
        <w:rPr>
          <w:rFonts w:ascii="Times New Roman" w:hAnsi="Times New Roman" w:eastAsia="Times New Roman" w:cs="Times New Roman"/>
          <w:b/>
        </w:rPr>
        <w:t>S100A6 stimulates Kuffer cells to produce TNF-α</w:t>
      </w:r>
    </w:p>
    <w:p>
      <w:pPr>
        <w:spacing w:line="36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(A) Expression of TNF-α after S100A6 stimulation of Kuffer cells. (B) CCL2 expression </w:t>
      </w:r>
      <w:r>
        <w:rPr>
          <w:rFonts w:ascii="Times New Roman" w:hAnsi="Times New Roman" w:eastAsia="Times New Roman" w:cs="Times New Roman"/>
        </w:rPr>
        <w:t xml:space="preserve">* </w:t>
      </w:r>
      <w:r>
        <w:rPr>
          <w:rFonts w:ascii="Times New Roman" w:hAnsi="Times New Roman" w:eastAsia="Calibri" w:cs="Calibri"/>
          <w:i/>
        </w:rPr>
        <w:t>p</w:t>
      </w:r>
      <w:r>
        <w:rPr>
          <w:rFonts w:ascii="Times New Roman" w:hAnsi="Times New Roman" w:eastAsia="Times New Roman" w:cs="Times New Roman"/>
        </w:rPr>
        <w:t xml:space="preserve"> &lt; 0.05, ** </w:t>
      </w:r>
      <w:r>
        <w:rPr>
          <w:rFonts w:ascii="Times New Roman" w:hAnsi="Times New Roman" w:eastAsia="Calibri" w:cs="Calibri"/>
          <w:i/>
        </w:rPr>
        <w:t>p</w:t>
      </w:r>
      <w:r>
        <w:rPr>
          <w:rFonts w:ascii="Times New Roman" w:hAnsi="Times New Roman" w:eastAsia="Times New Roman" w:cs="Times New Roman"/>
        </w:rPr>
        <w:t xml:space="preserve"> &lt; 0.01, *** </w:t>
      </w:r>
      <w:r>
        <w:rPr>
          <w:rFonts w:ascii="Times New Roman" w:hAnsi="Times New Roman" w:eastAsia="Calibri" w:cs="Calibri"/>
          <w:i/>
        </w:rPr>
        <w:t>p</w:t>
      </w:r>
      <w:r>
        <w:rPr>
          <w:rFonts w:ascii="Times New Roman" w:hAnsi="Times New Roman" w:eastAsia="Times New Roman" w:cs="Times New Roman"/>
        </w:rPr>
        <w:t xml:space="preserve"> &lt; 0.001 or ns (not significant).</w:t>
      </w:r>
    </w:p>
    <w:p>
      <w:pPr>
        <w:spacing w:line="360" w:lineRule="auto"/>
      </w:pPr>
    </w:p>
    <w:p>
      <w:pPr>
        <w:spacing w:line="480" w:lineRule="auto"/>
        <w:rPr>
          <w:rFonts w:ascii="Times New Roman" w:hAnsi="Times New Roman" w:eastAsia="Times New Roman" w:cs="Times New Roman"/>
          <w:b/>
          <w:color w:val="000000"/>
        </w:rPr>
      </w:pPr>
    </w:p>
    <w:p>
      <w:pPr>
        <w:spacing w:after="160" w:line="360" w:lineRule="auto"/>
        <w:rPr>
          <w:rFonts w:hint="default" w:ascii="Times New Roman" w:hAnsi="Times New Roman" w:cs="Times New Roman"/>
          <w:b/>
          <w:color w:val="000000" w:themeColor="text1"/>
          <w:kern w:val="0"/>
          <w:szCs w:val="21"/>
          <w14:textFill>
            <w14:solidFill>
              <w14:schemeClr w14:val="tx1"/>
            </w14:solidFill>
          </w14:textFill>
        </w:rPr>
      </w:pPr>
    </w:p>
    <w:p>
      <w:pPr>
        <w:spacing w:line="360" w:lineRule="auto"/>
        <w:rPr>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FD"/>
    <w:rsid w:val="0001444B"/>
    <w:rsid w:val="00016B38"/>
    <w:rsid w:val="0009668C"/>
    <w:rsid w:val="000A2704"/>
    <w:rsid w:val="0016532A"/>
    <w:rsid w:val="00193176"/>
    <w:rsid w:val="001977BB"/>
    <w:rsid w:val="001B67D2"/>
    <w:rsid w:val="002014E6"/>
    <w:rsid w:val="002840AE"/>
    <w:rsid w:val="00296E52"/>
    <w:rsid w:val="002A2697"/>
    <w:rsid w:val="002A5BDB"/>
    <w:rsid w:val="002C36E6"/>
    <w:rsid w:val="00327A0D"/>
    <w:rsid w:val="0035122E"/>
    <w:rsid w:val="00361149"/>
    <w:rsid w:val="00384094"/>
    <w:rsid w:val="00387AF3"/>
    <w:rsid w:val="00480876"/>
    <w:rsid w:val="005342DB"/>
    <w:rsid w:val="00592ED2"/>
    <w:rsid w:val="00596396"/>
    <w:rsid w:val="00615D06"/>
    <w:rsid w:val="00633B00"/>
    <w:rsid w:val="0071070B"/>
    <w:rsid w:val="0072050A"/>
    <w:rsid w:val="00724081"/>
    <w:rsid w:val="007827D7"/>
    <w:rsid w:val="007C72EC"/>
    <w:rsid w:val="00825B44"/>
    <w:rsid w:val="00855BFD"/>
    <w:rsid w:val="008E5855"/>
    <w:rsid w:val="00955410"/>
    <w:rsid w:val="009F524C"/>
    <w:rsid w:val="00A40217"/>
    <w:rsid w:val="00A46DB2"/>
    <w:rsid w:val="00B23D4E"/>
    <w:rsid w:val="00B75DDC"/>
    <w:rsid w:val="00B9601D"/>
    <w:rsid w:val="00C003E5"/>
    <w:rsid w:val="00C4596A"/>
    <w:rsid w:val="00C71078"/>
    <w:rsid w:val="00CA3083"/>
    <w:rsid w:val="00CD52F7"/>
    <w:rsid w:val="00D16650"/>
    <w:rsid w:val="00D21136"/>
    <w:rsid w:val="00D51CA0"/>
    <w:rsid w:val="00D6279F"/>
    <w:rsid w:val="00DD56EA"/>
    <w:rsid w:val="00E11B90"/>
    <w:rsid w:val="00E3770E"/>
    <w:rsid w:val="00E85771"/>
    <w:rsid w:val="00E87A9E"/>
    <w:rsid w:val="00ED7E21"/>
    <w:rsid w:val="00F449FF"/>
    <w:rsid w:val="00F7359D"/>
    <w:rsid w:val="00F9707C"/>
    <w:rsid w:val="00FB42B6"/>
    <w:rsid w:val="00FC269E"/>
    <w:rsid w:val="01CD6F01"/>
    <w:rsid w:val="05255B4E"/>
    <w:rsid w:val="05C936BD"/>
    <w:rsid w:val="06824166"/>
    <w:rsid w:val="0992531D"/>
    <w:rsid w:val="0A2019E8"/>
    <w:rsid w:val="0BD059A8"/>
    <w:rsid w:val="0C7139B7"/>
    <w:rsid w:val="0D197980"/>
    <w:rsid w:val="10526AE6"/>
    <w:rsid w:val="12192A7F"/>
    <w:rsid w:val="133464A8"/>
    <w:rsid w:val="136F1321"/>
    <w:rsid w:val="190F5864"/>
    <w:rsid w:val="1AC165A4"/>
    <w:rsid w:val="1B2A6673"/>
    <w:rsid w:val="1CA86C5D"/>
    <w:rsid w:val="20601879"/>
    <w:rsid w:val="23B6273D"/>
    <w:rsid w:val="23C8777B"/>
    <w:rsid w:val="2609527B"/>
    <w:rsid w:val="26621BA9"/>
    <w:rsid w:val="271611CC"/>
    <w:rsid w:val="272B5512"/>
    <w:rsid w:val="2F3C3D90"/>
    <w:rsid w:val="32E116A8"/>
    <w:rsid w:val="34645984"/>
    <w:rsid w:val="34D348B8"/>
    <w:rsid w:val="34DF358C"/>
    <w:rsid w:val="353B0B1D"/>
    <w:rsid w:val="3685312D"/>
    <w:rsid w:val="36FC59F1"/>
    <w:rsid w:val="380D428F"/>
    <w:rsid w:val="3B070558"/>
    <w:rsid w:val="3B673ADB"/>
    <w:rsid w:val="418A2804"/>
    <w:rsid w:val="42723E42"/>
    <w:rsid w:val="43972F54"/>
    <w:rsid w:val="49A96620"/>
    <w:rsid w:val="4ADD30F4"/>
    <w:rsid w:val="4CBD44DF"/>
    <w:rsid w:val="4D491763"/>
    <w:rsid w:val="4FC839E5"/>
    <w:rsid w:val="54231E88"/>
    <w:rsid w:val="54ED46B7"/>
    <w:rsid w:val="57620612"/>
    <w:rsid w:val="5D3710A9"/>
    <w:rsid w:val="5F342B39"/>
    <w:rsid w:val="6200643D"/>
    <w:rsid w:val="62797F9D"/>
    <w:rsid w:val="6AF02408"/>
    <w:rsid w:val="745B39A7"/>
    <w:rsid w:val="749C02F4"/>
    <w:rsid w:val="79E14914"/>
    <w:rsid w:val="7A526E60"/>
    <w:rsid w:val="7CE96D74"/>
    <w:rsid w:val="7D9B1948"/>
    <w:rsid w:val="7EB50985"/>
    <w:rsid w:val="7F144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lang w:eastAsia="zh-CN"/>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lang w:eastAsia="zh-CN"/>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lang w:eastAsia="ja-JP"/>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885</Words>
  <Characters>5048</Characters>
  <Lines>42</Lines>
  <Paragraphs>11</Paragraphs>
  <TotalTime>0</TotalTime>
  <ScaleCrop>false</ScaleCrop>
  <LinksUpToDate>false</LinksUpToDate>
  <CharactersWithSpaces>5922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2021-04-07T02:48:00Z</dcterms:created>
  <dc:creator>dell</dc:creator>
  <cp:lastModifiedBy>肉串串</cp:lastModifiedBy>
  <dcterms:modified xsi:type="dcterms:W3CDTF">2021-12-11T03:26:31Z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729F03447C504C92B85CA1A6AF550D0D</vt:lpwstr>
  </property>
</Properties>
</file>