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6CBD56" w14:textId="77777777" w:rsidR="004534DE" w:rsidRDefault="00000000">
      <w:pPr>
        <w:pStyle w:val="Heading1"/>
        <w:spacing w:after="40"/>
      </w:pPr>
      <w:r>
        <w:t>STROBE Statement — Checklist of items for reports of cohort studies</w:t>
      </w:r>
    </w:p>
    <w:p w14:paraId="03A876B8" w14:textId="77777777" w:rsidR="004534DE" w:rsidRDefault="00000000">
      <w:pPr>
        <w:pStyle w:val="BodyText"/>
        <w:keepNext/>
        <w:pBdr>
          <w:bottom w:val="single" w:sz="6" w:space="4" w:color="A6A6A6"/>
        </w:pBdr>
        <w:spacing w:after="200"/>
      </w:pPr>
      <w:bookmarkStart w:id="0" w:name="X0f83de7a201760bd1c8eedaa5c694c79661c5d1"/>
      <w:r>
        <w:rPr>
          <w:color w:val="595959"/>
        </w:rPr>
        <w:t>Benzodiazepine Withdrawal Symptom Ontology</w:t>
      </w:r>
      <w:bookmarkEnd w:id="0"/>
    </w:p>
    <w:p w14:paraId="70DF2896" w14:textId="77777777" w:rsidR="004534DE" w:rsidRDefault="00000000">
      <w:pPr>
        <w:pStyle w:val="FirstParagraph"/>
      </w:pPr>
      <w:r>
        <w:t>Manuscript: Organizing Benzodiazepine Withdrawal-Related Symptoms: A Provisional Ontology and Severity-Allocation Analysis. Author: Valsa S. Madhava, MD, MPH, MS. Study design: descriptive cross-sectional intake study in a single specialty practice; secondary research under BRANY exempt category 4(ii), Protocol TBTD-Benzo-Phenotypes-2025-01.</w:t>
      </w:r>
    </w:p>
    <w:p w14:paraId="3C250817" w14:textId="77777777" w:rsidR="004534DE" w:rsidRDefault="00000000">
      <w:pPr>
        <w:pStyle w:val="BodyText"/>
      </w:pPr>
      <w:r>
        <w:rPr>
          <w:i/>
        </w:rPr>
        <w:t>Note on applicability: this is a descriptive, single-group cohort study. It does not compare exposed/unexposed or treated/untreated groups, does not test a predictor-outcome association, and does not adjust for confounding. Several STROBE items that presume a comparative design (bias, confounding adjustment, stratified/comparative reporting) are marked “Not applicable” below, consistent with the study’s stated descriptive, hypothesis-generating scope (see Discussion, Limitations).</w:t>
      </w:r>
    </w:p>
    <w:tbl>
      <w:tblPr>
        <w:tblW w:w="12960" w:type="dxa"/>
        <w:tblBorders>
          <w:top w:val="single" w:sz="4" w:space="0" w:color="BFBFBF"/>
          <w:bottom w:val="single" w:sz="4" w:space="0" w:color="BFBFBF"/>
          <w:insideH w:val="single" w:sz="4" w:space="0" w:color="BFBFBF"/>
        </w:tblBorders>
        <w:tblLayout w:type="fixed"/>
        <w:tblCellMar>
          <w:top w:w="50" w:type="dxa"/>
          <w:left w:w="100" w:type="dxa"/>
          <w:bottom w:w="50" w:type="dxa"/>
          <w:right w:w="100" w:type="dxa"/>
        </w:tblCellMar>
        <w:tblLook w:val="04A0" w:firstRow="1" w:lastRow="0" w:firstColumn="1" w:lastColumn="0" w:noHBand="0" w:noVBand="1"/>
      </w:tblPr>
      <w:tblGrid>
        <w:gridCol w:w="900"/>
        <w:gridCol w:w="3030"/>
        <w:gridCol w:w="3115"/>
        <w:gridCol w:w="5915"/>
      </w:tblGrid>
      <w:tr w:rsidR="004534DE" w14:paraId="23F9D46E" w14:textId="77777777">
        <w:trPr>
          <w:cantSplit/>
          <w:tblHeader/>
        </w:trPr>
        <w:tc>
          <w:tcPr>
            <w:tcW w:w="900" w:type="dxa"/>
            <w:tcBorders>
              <w:bottom w:val="single" w:sz="8" w:space="0" w:color="7F7F7F"/>
            </w:tcBorders>
            <w:shd w:val="clear" w:color="auto" w:fill="F2F2F2"/>
            <w:vAlign w:val="center"/>
          </w:tcPr>
          <w:p w14:paraId="73B42F19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b/>
                <w:sz w:val="19"/>
              </w:rPr>
              <w:t>Item #</w:t>
            </w:r>
          </w:p>
        </w:tc>
        <w:tc>
          <w:tcPr>
            <w:tcW w:w="3030" w:type="dxa"/>
            <w:tcBorders>
              <w:bottom w:val="single" w:sz="8" w:space="0" w:color="7F7F7F"/>
            </w:tcBorders>
            <w:shd w:val="clear" w:color="auto" w:fill="F2F2F2"/>
            <w:vAlign w:val="center"/>
          </w:tcPr>
          <w:p w14:paraId="627FBCA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b/>
                <w:sz w:val="19"/>
              </w:rPr>
              <w:t>Recommendation</w:t>
            </w:r>
          </w:p>
        </w:tc>
        <w:tc>
          <w:tcPr>
            <w:tcW w:w="3115" w:type="dxa"/>
            <w:tcBorders>
              <w:bottom w:val="single" w:sz="8" w:space="0" w:color="7F7F7F"/>
            </w:tcBorders>
            <w:shd w:val="clear" w:color="auto" w:fill="F2F2F2"/>
            <w:vAlign w:val="center"/>
          </w:tcPr>
          <w:p w14:paraId="5974519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b/>
                <w:sz w:val="19"/>
              </w:rPr>
              <w:t>Reported in manuscript</w:t>
            </w:r>
          </w:p>
        </w:tc>
        <w:tc>
          <w:tcPr>
            <w:tcW w:w="5915" w:type="dxa"/>
            <w:tcBorders>
              <w:bottom w:val="single" w:sz="8" w:space="0" w:color="7F7F7F"/>
            </w:tcBorders>
            <w:shd w:val="clear" w:color="auto" w:fill="F2F2F2"/>
            <w:vAlign w:val="center"/>
          </w:tcPr>
          <w:p w14:paraId="5E6A02C9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b/>
                <w:sz w:val="19"/>
              </w:rPr>
              <w:t>Notes</w:t>
            </w:r>
          </w:p>
        </w:tc>
      </w:tr>
      <w:tr w:rsidR="004534DE" w14:paraId="2B5D30C3" w14:textId="77777777">
        <w:trPr>
          <w:cantSplit/>
        </w:trPr>
        <w:tc>
          <w:tcPr>
            <w:tcW w:w="900" w:type="dxa"/>
          </w:tcPr>
          <w:p w14:paraId="425739A8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1a</w:t>
            </w:r>
          </w:p>
        </w:tc>
        <w:tc>
          <w:tcPr>
            <w:tcW w:w="3030" w:type="dxa"/>
          </w:tcPr>
          <w:p w14:paraId="274BB6A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Indicate the study’s design with a commonly used term in the title or abstract</w:t>
            </w:r>
          </w:p>
        </w:tc>
        <w:tc>
          <w:tcPr>
            <w:tcW w:w="3115" w:type="dxa"/>
          </w:tcPr>
          <w:p w14:paraId="1EA9F4BD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Abstract, Methods; Methods, “Study design and cohort”</w:t>
            </w:r>
          </w:p>
        </w:tc>
        <w:tc>
          <w:tcPr>
            <w:tcW w:w="5915" w:type="dxa"/>
          </w:tcPr>
          <w:p w14:paraId="791EBD9D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Cross-sectional intake data are identified explicitly.</w:t>
            </w:r>
          </w:p>
        </w:tc>
      </w:tr>
      <w:tr w:rsidR="004534DE" w14:paraId="33503DD3" w14:textId="77777777">
        <w:trPr>
          <w:cantSplit/>
        </w:trPr>
        <w:tc>
          <w:tcPr>
            <w:tcW w:w="900" w:type="dxa"/>
          </w:tcPr>
          <w:p w14:paraId="312484EE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1b</w:t>
            </w:r>
          </w:p>
        </w:tc>
        <w:tc>
          <w:tcPr>
            <w:tcW w:w="3030" w:type="dxa"/>
          </w:tcPr>
          <w:p w14:paraId="610C5B00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Provide an informative and balanced abstract</w:t>
            </w:r>
          </w:p>
        </w:tc>
        <w:tc>
          <w:tcPr>
            <w:tcW w:w="3115" w:type="dxa"/>
          </w:tcPr>
          <w:p w14:paraId="320C0636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Abstract</w:t>
            </w:r>
          </w:p>
        </w:tc>
        <w:tc>
          <w:tcPr>
            <w:tcW w:w="5915" w:type="dxa"/>
          </w:tcPr>
          <w:p w14:paraId="12571F16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Structured Background/Methods/Results/Conclusions abstract; coding-dependent findings and provisional scope disclosed.</w:t>
            </w:r>
          </w:p>
        </w:tc>
      </w:tr>
      <w:tr w:rsidR="004534DE" w14:paraId="6C4569E6" w14:textId="77777777">
        <w:trPr>
          <w:cantSplit/>
        </w:trPr>
        <w:tc>
          <w:tcPr>
            <w:tcW w:w="900" w:type="dxa"/>
          </w:tcPr>
          <w:p w14:paraId="28608F49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2</w:t>
            </w:r>
          </w:p>
        </w:tc>
        <w:tc>
          <w:tcPr>
            <w:tcW w:w="3030" w:type="dxa"/>
          </w:tcPr>
          <w:p w14:paraId="1B65AFE0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Explain the scientific background and rationale</w:t>
            </w:r>
          </w:p>
        </w:tc>
        <w:tc>
          <w:tcPr>
            <w:tcW w:w="3115" w:type="dxa"/>
          </w:tcPr>
          <w:p w14:paraId="2718DB60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Introduction (full section, including “Regulatory-system framework” subsection)</w:t>
            </w:r>
          </w:p>
        </w:tc>
        <w:tc>
          <w:tcPr>
            <w:tcW w:w="5915" w:type="dxa"/>
          </w:tcPr>
          <w:p w14:paraId="7FA4B1C9" w14:textId="77777777" w:rsidR="004534DE" w:rsidRDefault="004534DE">
            <w:pPr>
              <w:spacing w:before="20" w:after="20" w:line="264" w:lineRule="auto"/>
            </w:pPr>
          </w:p>
        </w:tc>
      </w:tr>
      <w:tr w:rsidR="004534DE" w14:paraId="5BC337E0" w14:textId="77777777">
        <w:trPr>
          <w:cantSplit/>
        </w:trPr>
        <w:tc>
          <w:tcPr>
            <w:tcW w:w="900" w:type="dxa"/>
          </w:tcPr>
          <w:p w14:paraId="3DFC7C6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3</w:t>
            </w:r>
          </w:p>
        </w:tc>
        <w:tc>
          <w:tcPr>
            <w:tcW w:w="3030" w:type="dxa"/>
          </w:tcPr>
          <w:p w14:paraId="1A3CC818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State specific objectives, including any prespecified hypotheses</w:t>
            </w:r>
          </w:p>
        </w:tc>
        <w:tc>
          <w:tcPr>
            <w:tcW w:w="3115" w:type="dxa"/>
          </w:tcPr>
          <w:p w14:paraId="28D50A4D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Introduction, “Study aims”</w:t>
            </w:r>
          </w:p>
        </w:tc>
        <w:tc>
          <w:tcPr>
            <w:tcW w:w="5915" w:type="dxa"/>
          </w:tcPr>
          <w:p w14:paraId="0FF8EDB0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Ontology construction (Analysis A) and allocated-severity analysis (Analysis B); descriptive and hypothesis-generating.</w:t>
            </w:r>
          </w:p>
        </w:tc>
      </w:tr>
      <w:tr w:rsidR="004534DE" w14:paraId="04D3E7D4" w14:textId="77777777">
        <w:trPr>
          <w:cantSplit/>
        </w:trPr>
        <w:tc>
          <w:tcPr>
            <w:tcW w:w="900" w:type="dxa"/>
          </w:tcPr>
          <w:p w14:paraId="6B437C6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4</w:t>
            </w:r>
          </w:p>
        </w:tc>
        <w:tc>
          <w:tcPr>
            <w:tcW w:w="3030" w:type="dxa"/>
          </w:tcPr>
          <w:p w14:paraId="1707F760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Present key elements of study design early in the paper</w:t>
            </w:r>
          </w:p>
        </w:tc>
        <w:tc>
          <w:tcPr>
            <w:tcW w:w="3115" w:type="dxa"/>
          </w:tcPr>
          <w:p w14:paraId="27A9D8B2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“Study design and cohort” (opening paragraph); Figure 1</w:t>
            </w:r>
          </w:p>
        </w:tc>
        <w:tc>
          <w:tcPr>
            <w:tcW w:w="5915" w:type="dxa"/>
          </w:tcPr>
          <w:p w14:paraId="39EAEEB2" w14:textId="77777777" w:rsidR="004534DE" w:rsidRDefault="004534DE">
            <w:pPr>
              <w:spacing w:before="20" w:after="20" w:line="264" w:lineRule="auto"/>
            </w:pPr>
          </w:p>
        </w:tc>
      </w:tr>
      <w:tr w:rsidR="004534DE" w14:paraId="55795240" w14:textId="77777777">
        <w:trPr>
          <w:cantSplit/>
        </w:trPr>
        <w:tc>
          <w:tcPr>
            <w:tcW w:w="900" w:type="dxa"/>
          </w:tcPr>
          <w:p w14:paraId="5071563A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5</w:t>
            </w:r>
          </w:p>
        </w:tc>
        <w:tc>
          <w:tcPr>
            <w:tcW w:w="3030" w:type="dxa"/>
          </w:tcPr>
          <w:p w14:paraId="2705E156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Describe the setting, locations, relevant dates, periods of recruitment, exposure, follow-up, data collection</w:t>
            </w:r>
          </w:p>
        </w:tc>
        <w:tc>
          <w:tcPr>
            <w:tcW w:w="3115" w:type="dxa"/>
          </w:tcPr>
          <w:p w14:paraId="27A27A28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“Study design and cohort”</w:t>
            </w:r>
          </w:p>
        </w:tc>
        <w:tc>
          <w:tcPr>
            <w:tcW w:w="5915" w:type="dxa"/>
          </w:tcPr>
          <w:p w14:paraId="1F35292C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Single specialty benzodiazepine taper practice; data-collection window stated as approximately January 2022–August 2025 (reported approximately)</w:t>
            </w:r>
          </w:p>
        </w:tc>
      </w:tr>
      <w:tr w:rsidR="004534DE" w14:paraId="7080590D" w14:textId="77777777">
        <w:trPr>
          <w:cantSplit/>
        </w:trPr>
        <w:tc>
          <w:tcPr>
            <w:tcW w:w="900" w:type="dxa"/>
          </w:tcPr>
          <w:p w14:paraId="2A555637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lastRenderedPageBreak/>
              <w:t>6a</w:t>
            </w:r>
          </w:p>
        </w:tc>
        <w:tc>
          <w:tcPr>
            <w:tcW w:w="3030" w:type="dxa"/>
          </w:tcPr>
          <w:p w14:paraId="26D94437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Eligibility criteria and sources/methods of participant selection; describe follow-up methods</w:t>
            </w:r>
          </w:p>
        </w:tc>
        <w:tc>
          <w:tcPr>
            <w:tcW w:w="3115" w:type="dxa"/>
          </w:tcPr>
          <w:p w14:paraId="781AA959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“Study design and cohort”</w:t>
            </w:r>
          </w:p>
        </w:tc>
        <w:tc>
          <w:tcPr>
            <w:tcW w:w="5915" w:type="dxa"/>
          </w:tcPr>
          <w:p w14:paraId="31DFC47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39 consecutive adults evaluated in the practice; cross-sectional (intake only), no longitudinal follow-up — explicitly noted as a limitation. This is secondary research under BRANY exempt category 4(ii) (Protocol TBTD-Benzo-Phenotypes-2025-01; File #25-12-541-2328), involving no subject contact. Clinical data were collected during routine care (approximately January 2022–August 2025); the IRB exemption/HIPAA waiver governing this secondary research use was obtained afterward, shortly before analysis and dissemination (determination dated October 3, 2025) — not prospectively before data collection began</w:t>
            </w:r>
          </w:p>
        </w:tc>
      </w:tr>
      <w:tr w:rsidR="004534DE" w14:paraId="23DDFB15" w14:textId="77777777">
        <w:trPr>
          <w:cantSplit/>
        </w:trPr>
        <w:tc>
          <w:tcPr>
            <w:tcW w:w="900" w:type="dxa"/>
          </w:tcPr>
          <w:p w14:paraId="06E5296F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6b</w:t>
            </w:r>
          </w:p>
        </w:tc>
        <w:tc>
          <w:tcPr>
            <w:tcW w:w="3030" w:type="dxa"/>
          </w:tcPr>
          <w:p w14:paraId="20733568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For matched studies, matching criteria and numbers exposed/unexposed</w:t>
            </w:r>
          </w:p>
        </w:tc>
        <w:tc>
          <w:tcPr>
            <w:tcW w:w="3115" w:type="dxa"/>
          </w:tcPr>
          <w:p w14:paraId="7ED4A57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Not applicable</w:t>
            </w:r>
          </w:p>
        </w:tc>
        <w:tc>
          <w:tcPr>
            <w:tcW w:w="5915" w:type="dxa"/>
          </w:tcPr>
          <w:p w14:paraId="3EDC48B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 matching; single-group descriptive cohort</w:t>
            </w:r>
          </w:p>
        </w:tc>
      </w:tr>
      <w:tr w:rsidR="004534DE" w14:paraId="42AA58D0" w14:textId="77777777">
        <w:trPr>
          <w:cantSplit/>
        </w:trPr>
        <w:tc>
          <w:tcPr>
            <w:tcW w:w="900" w:type="dxa"/>
          </w:tcPr>
          <w:p w14:paraId="15F6185E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7</w:t>
            </w:r>
          </w:p>
        </w:tc>
        <w:tc>
          <w:tcPr>
            <w:tcW w:w="3030" w:type="dxa"/>
          </w:tcPr>
          <w:p w14:paraId="1D11896B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Define all outcomes, exposures, predictors, confounders, effect modifiers; diagnostic criteria</w:t>
            </w:r>
          </w:p>
        </w:tc>
        <w:tc>
          <w:tcPr>
            <w:tcW w:w="3115" w:type="dxa"/>
          </w:tcPr>
          <w:p w14:paraId="44D19B59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“Source symptom corpus and questionnaire distinction”; “Analysis A”; “Regulatory-system assignment”</w:t>
            </w:r>
          </w:p>
        </w:tc>
        <w:tc>
          <w:tcPr>
            <w:tcW w:w="5915" w:type="dxa"/>
          </w:tcPr>
          <w:p w14:paraId="3841782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 exposure/outcome/confounder framework — study describes symptom vocabulary structure and severity distribution, not an exposure-outcome relationship</w:t>
            </w:r>
          </w:p>
        </w:tc>
      </w:tr>
      <w:tr w:rsidR="004534DE" w14:paraId="51C9A506" w14:textId="77777777">
        <w:trPr>
          <w:cantSplit/>
        </w:trPr>
        <w:tc>
          <w:tcPr>
            <w:tcW w:w="900" w:type="dxa"/>
          </w:tcPr>
          <w:p w14:paraId="1C1E00B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8</w:t>
            </w:r>
          </w:p>
        </w:tc>
        <w:tc>
          <w:tcPr>
            <w:tcW w:w="3030" w:type="dxa"/>
          </w:tcPr>
          <w:p w14:paraId="460DA466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For each variable, give data sources and measurement methods; comparability across groups</w:t>
            </w:r>
          </w:p>
        </w:tc>
        <w:tc>
          <w:tcPr>
            <w:tcW w:w="3115" w:type="dxa"/>
          </w:tcPr>
          <w:p w14:paraId="1468C0F0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“Source symptom corpus and questionnaire distinction”; S1 Table (questionnaire); S2 Table (crosswalk)</w:t>
            </w:r>
          </w:p>
        </w:tc>
        <w:tc>
          <w:tcPr>
            <w:tcW w:w="5915" w:type="dxa"/>
          </w:tcPr>
          <w:p w14:paraId="11BE6F89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Single group; no cross-group comparability issue</w:t>
            </w:r>
          </w:p>
        </w:tc>
      </w:tr>
      <w:tr w:rsidR="004534DE" w14:paraId="40AC5CE4" w14:textId="77777777">
        <w:trPr>
          <w:cantSplit/>
        </w:trPr>
        <w:tc>
          <w:tcPr>
            <w:tcW w:w="900" w:type="dxa"/>
          </w:tcPr>
          <w:p w14:paraId="3FCCB13E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9</w:t>
            </w:r>
          </w:p>
        </w:tc>
        <w:tc>
          <w:tcPr>
            <w:tcW w:w="3030" w:type="dxa"/>
          </w:tcPr>
          <w:p w14:paraId="2AB87E1A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Describe efforts to address potential sources of bias</w:t>
            </w:r>
          </w:p>
        </w:tc>
        <w:tc>
          <w:tcPr>
            <w:tcW w:w="3115" w:type="dxa"/>
          </w:tcPr>
          <w:p w14:paraId="02CA787A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Discussion, “Limitations”; Methods, “</w:t>
            </w:r>
            <w:r w:rsidR="00512FFD" w:rsidRPr="00512FFD">
              <w:rPr>
                <w:sz w:val="19"/>
              </w:rPr>
              <w:t>Procedural audit of ontology construction</w:t>
            </w:r>
            <w:r>
              <w:rPr>
                <w:sz w:val="19"/>
              </w:rPr>
              <w:t>”; “Use of AI tools”</w:t>
            </w:r>
          </w:p>
        </w:tc>
        <w:tc>
          <w:tcPr>
            <w:tcW w:w="5915" w:type="dxa"/>
          </w:tcPr>
          <w:p w14:paraId="2C7C894F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AI tools were used in both original ontology development and the subsequent audit pass; the audit is reported as a procedural-consistency and transparency check, not as an independent check on coding bias</w:t>
            </w:r>
          </w:p>
        </w:tc>
      </w:tr>
      <w:tr w:rsidR="004534DE" w14:paraId="389867D3" w14:textId="77777777">
        <w:trPr>
          <w:cantSplit/>
        </w:trPr>
        <w:tc>
          <w:tcPr>
            <w:tcW w:w="900" w:type="dxa"/>
          </w:tcPr>
          <w:p w14:paraId="2F74625B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10</w:t>
            </w:r>
          </w:p>
        </w:tc>
        <w:tc>
          <w:tcPr>
            <w:tcW w:w="3030" w:type="dxa"/>
          </w:tcPr>
          <w:p w14:paraId="1EEE1A7F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Explain how study size was arrived at</w:t>
            </w:r>
          </w:p>
        </w:tc>
        <w:tc>
          <w:tcPr>
            <w:tcW w:w="3115" w:type="dxa"/>
          </w:tcPr>
          <w:p w14:paraId="2F7B4105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“Study design and cohort”</w:t>
            </w:r>
          </w:p>
        </w:tc>
        <w:tc>
          <w:tcPr>
            <w:tcW w:w="5915" w:type="dxa"/>
          </w:tcPr>
          <w:p w14:paraId="267A3037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All 39 patients meeting the practice’s intake criteria during the data-collection window were included; no formal sample-size or power calculation was performed, consistent with the descriptive design (now stated explicitly in Methods)</w:t>
            </w:r>
          </w:p>
        </w:tc>
      </w:tr>
      <w:tr w:rsidR="004534DE" w14:paraId="267A515F" w14:textId="77777777">
        <w:trPr>
          <w:cantSplit/>
        </w:trPr>
        <w:tc>
          <w:tcPr>
            <w:tcW w:w="900" w:type="dxa"/>
          </w:tcPr>
          <w:p w14:paraId="49D3EC2F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lastRenderedPageBreak/>
              <w:t>11</w:t>
            </w:r>
          </w:p>
        </w:tc>
        <w:tc>
          <w:tcPr>
            <w:tcW w:w="3030" w:type="dxa"/>
          </w:tcPr>
          <w:p w14:paraId="62189B7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Explain how quantitative variables were handled; groupings chosen and why</w:t>
            </w:r>
          </w:p>
        </w:tc>
        <w:tc>
          <w:tcPr>
            <w:tcW w:w="3115" w:type="dxa"/>
          </w:tcPr>
          <w:p w14:paraId="65102C1E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“Analysis B”</w:t>
            </w:r>
          </w:p>
        </w:tc>
        <w:tc>
          <w:tcPr>
            <w:tcW w:w="5915" w:type="dxa"/>
          </w:tcPr>
          <w:p w14:paraId="38797495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Raw 0–10 severity ratings used directly (not categorized) as primary analysis; a ≥7 binary threshold reported only as a sensitivity analysis</w:t>
            </w:r>
          </w:p>
        </w:tc>
      </w:tr>
      <w:tr w:rsidR="004534DE" w14:paraId="3C29E059" w14:textId="77777777">
        <w:trPr>
          <w:cantSplit/>
        </w:trPr>
        <w:tc>
          <w:tcPr>
            <w:tcW w:w="900" w:type="dxa"/>
          </w:tcPr>
          <w:p w14:paraId="3D9069CD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12a</w:t>
            </w:r>
          </w:p>
        </w:tc>
        <w:tc>
          <w:tcPr>
            <w:tcW w:w="3030" w:type="dxa"/>
          </w:tcPr>
          <w:p w14:paraId="6837B177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Statistical methods, including confounding control</w:t>
            </w:r>
          </w:p>
        </w:tc>
        <w:tc>
          <w:tcPr>
            <w:tcW w:w="3115" w:type="dxa"/>
          </w:tcPr>
          <w:p w14:paraId="3BA013D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“Analysis B”</w:t>
            </w:r>
          </w:p>
        </w:tc>
        <w:tc>
          <w:tcPr>
            <w:tcW w:w="5915" w:type="dxa"/>
          </w:tcPr>
          <w:p w14:paraId="07254738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 confounding control; bootstrap resampling described for CI estimation</w:t>
            </w:r>
          </w:p>
        </w:tc>
      </w:tr>
      <w:tr w:rsidR="004534DE" w14:paraId="7A428981" w14:textId="77777777">
        <w:trPr>
          <w:cantSplit/>
        </w:trPr>
        <w:tc>
          <w:tcPr>
            <w:tcW w:w="900" w:type="dxa"/>
          </w:tcPr>
          <w:p w14:paraId="2D90883B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12b</w:t>
            </w:r>
          </w:p>
        </w:tc>
        <w:tc>
          <w:tcPr>
            <w:tcW w:w="3030" w:type="dxa"/>
          </w:tcPr>
          <w:p w14:paraId="1CC7075E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 for subgroups/interactions</w:t>
            </w:r>
          </w:p>
        </w:tc>
        <w:tc>
          <w:tcPr>
            <w:tcW w:w="3115" w:type="dxa"/>
          </w:tcPr>
          <w:p w14:paraId="1A72630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Not applicable</w:t>
            </w:r>
          </w:p>
        </w:tc>
        <w:tc>
          <w:tcPr>
            <w:tcW w:w="5915" w:type="dxa"/>
          </w:tcPr>
          <w:p w14:paraId="314D36F8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 subgroup or interaction analysis</w:t>
            </w:r>
          </w:p>
        </w:tc>
      </w:tr>
      <w:tr w:rsidR="004534DE" w14:paraId="09302FC5" w14:textId="77777777">
        <w:trPr>
          <w:cantSplit/>
        </w:trPr>
        <w:tc>
          <w:tcPr>
            <w:tcW w:w="900" w:type="dxa"/>
          </w:tcPr>
          <w:p w14:paraId="65A209A8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12c</w:t>
            </w:r>
          </w:p>
        </w:tc>
        <w:tc>
          <w:tcPr>
            <w:tcW w:w="3030" w:type="dxa"/>
          </w:tcPr>
          <w:p w14:paraId="14594C2C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How missing data were addressed</w:t>
            </w:r>
          </w:p>
        </w:tc>
        <w:tc>
          <w:tcPr>
            <w:tcW w:w="3115" w:type="dxa"/>
          </w:tcPr>
          <w:p w14:paraId="40CBFB2B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“Analysis B”; “Robustness analyses”; Discussion, “Limitations”; Table 2 note; Results, “Missing-data sensitivity analyses”; S12</w:t>
            </w:r>
          </w:p>
        </w:tc>
        <w:tc>
          <w:tcPr>
            <w:tcW w:w="5915" w:type="dxa"/>
          </w:tcPr>
          <w:p w14:paraId="6C6F6986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Blank responses were entered as zero in the frozen matrix; blank and non-numeric responses were identified from the original questionnaires and examined in nine missing-data scenarios (no imputation, item-mean imputation, patient-mean imputation; S12). All 9,139 three-patient exclusions test patient-removal stability, not missing-as-zero bias. Missingness figures and zero handling are documented in the manuscript, the S11 provenance note, and S12, recomputed from the original questionnaires; PROMIS completeness is handled separately.</w:t>
            </w:r>
          </w:p>
        </w:tc>
      </w:tr>
      <w:tr w:rsidR="004534DE" w14:paraId="55323ADC" w14:textId="77777777">
        <w:trPr>
          <w:cantSplit/>
        </w:trPr>
        <w:tc>
          <w:tcPr>
            <w:tcW w:w="900" w:type="dxa"/>
          </w:tcPr>
          <w:p w14:paraId="18A5563C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12d</w:t>
            </w:r>
          </w:p>
        </w:tc>
        <w:tc>
          <w:tcPr>
            <w:tcW w:w="3030" w:type="dxa"/>
          </w:tcPr>
          <w:p w14:paraId="19EA0215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How loss to follow-up was addressed</w:t>
            </w:r>
          </w:p>
        </w:tc>
        <w:tc>
          <w:tcPr>
            <w:tcW w:w="3115" w:type="dxa"/>
          </w:tcPr>
          <w:p w14:paraId="415EA1A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Not applicable</w:t>
            </w:r>
          </w:p>
        </w:tc>
        <w:tc>
          <w:tcPr>
            <w:tcW w:w="5915" w:type="dxa"/>
          </w:tcPr>
          <w:p w14:paraId="666BEB6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Cross-sectional design; no follow-up</w:t>
            </w:r>
          </w:p>
        </w:tc>
      </w:tr>
      <w:tr w:rsidR="004534DE" w14:paraId="2BEABB04" w14:textId="77777777">
        <w:trPr>
          <w:cantSplit/>
        </w:trPr>
        <w:tc>
          <w:tcPr>
            <w:tcW w:w="900" w:type="dxa"/>
          </w:tcPr>
          <w:p w14:paraId="0308FA78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12e</w:t>
            </w:r>
          </w:p>
        </w:tc>
        <w:tc>
          <w:tcPr>
            <w:tcW w:w="3030" w:type="dxa"/>
          </w:tcPr>
          <w:p w14:paraId="0A7D7A5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Sensitivity analyses</w:t>
            </w:r>
          </w:p>
        </w:tc>
        <w:tc>
          <w:tcPr>
            <w:tcW w:w="3115" w:type="dxa"/>
          </w:tcPr>
          <w:p w14:paraId="0ACAACDB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“Robustness analyses”; Results, “Alternative severity measures,” “Missing-data sensitivity analyses,” and “Robustness to analytic choices and to coder”; Tables 5–6; S10–S12</w:t>
            </w:r>
          </w:p>
        </w:tc>
        <w:tc>
          <w:tcPr>
            <w:tcW w:w="5915" w:type="dxa"/>
          </w:tcPr>
          <w:p w14:paraId="1C560AD8" w14:textId="77777777" w:rsidR="004534DE" w:rsidRDefault="00000000">
            <w:pPr>
              <w:spacing w:before="20" w:after="20" w:line="264" w:lineRule="auto"/>
            </w:pPr>
            <w:r>
              <w:rPr>
                <w:sz w:val="19"/>
              </w:rPr>
              <w:t>Full-credit and ≥7 threshold; merged rows; state-level exclusion; raw item means; umbrella mapping; duplicate contributions; patient weighting; exclusions; missing-data scenarios (S12); blinded AI coding pass.</w:t>
            </w:r>
          </w:p>
        </w:tc>
      </w:tr>
      <w:tr w:rsidR="004534DE" w14:paraId="13CD4943" w14:textId="77777777">
        <w:trPr>
          <w:cantSplit/>
        </w:trPr>
        <w:tc>
          <w:tcPr>
            <w:tcW w:w="900" w:type="dxa"/>
          </w:tcPr>
          <w:p w14:paraId="6715646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13a</w:t>
            </w:r>
          </w:p>
        </w:tc>
        <w:tc>
          <w:tcPr>
            <w:tcW w:w="3030" w:type="dxa"/>
          </w:tcPr>
          <w:p w14:paraId="3AB9254C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Numbers of individuals at each stage</w:t>
            </w:r>
          </w:p>
        </w:tc>
        <w:tc>
          <w:tcPr>
            <w:tcW w:w="3115" w:type="dxa"/>
          </w:tcPr>
          <w:p w14:paraId="6BD8ADB2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“Study design and cohort”; Results, “Cohort context”</w:t>
            </w:r>
          </w:p>
        </w:tc>
        <w:tc>
          <w:tcPr>
            <w:tcW w:w="5915" w:type="dxa"/>
          </w:tcPr>
          <w:p w14:paraId="728C84BD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39 patients total (37 presenting to begin taper, 2 post-taper symptomatic); all 39 completed the questionnaire</w:t>
            </w:r>
          </w:p>
        </w:tc>
      </w:tr>
      <w:tr w:rsidR="004534DE" w14:paraId="4D100FFA" w14:textId="77777777">
        <w:trPr>
          <w:cantSplit/>
        </w:trPr>
        <w:tc>
          <w:tcPr>
            <w:tcW w:w="900" w:type="dxa"/>
          </w:tcPr>
          <w:p w14:paraId="458059E5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13b</w:t>
            </w:r>
          </w:p>
        </w:tc>
        <w:tc>
          <w:tcPr>
            <w:tcW w:w="3030" w:type="dxa"/>
          </w:tcPr>
          <w:p w14:paraId="680575C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Reasons for non-participation at each stage</w:t>
            </w:r>
          </w:p>
        </w:tc>
        <w:tc>
          <w:tcPr>
            <w:tcW w:w="3115" w:type="dxa"/>
          </w:tcPr>
          <w:p w14:paraId="3483B64C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“Study design and cohort”</w:t>
            </w:r>
          </w:p>
        </w:tc>
        <w:tc>
          <w:tcPr>
            <w:tcW w:w="5915" w:type="dxa"/>
          </w:tcPr>
          <w:p w14:paraId="3BF5502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Not applicable — secondary research under BRANY exempt category 4(ii) involves no subject contact, so there is no recruitment/enrollment stage at which a patient could decline; now stated explicitly in Methods</w:t>
            </w:r>
          </w:p>
        </w:tc>
      </w:tr>
      <w:tr w:rsidR="004534DE" w14:paraId="5CDE900C" w14:textId="77777777">
        <w:trPr>
          <w:cantSplit/>
        </w:trPr>
        <w:tc>
          <w:tcPr>
            <w:tcW w:w="900" w:type="dxa"/>
          </w:tcPr>
          <w:p w14:paraId="7C41CBAC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lastRenderedPageBreak/>
              <w:t>13c</w:t>
            </w:r>
          </w:p>
        </w:tc>
        <w:tc>
          <w:tcPr>
            <w:tcW w:w="3030" w:type="dxa"/>
          </w:tcPr>
          <w:p w14:paraId="032F8E3C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Consider a flow diagram</w:t>
            </w:r>
          </w:p>
        </w:tc>
        <w:tc>
          <w:tcPr>
            <w:tcW w:w="3115" w:type="dxa"/>
          </w:tcPr>
          <w:p w14:paraId="527033F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Not included</w:t>
            </w:r>
          </w:p>
        </w:tc>
        <w:tc>
          <w:tcPr>
            <w:tcW w:w="5915" w:type="dxa"/>
          </w:tcPr>
          <w:p w14:paraId="35857B79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Figure 1 shows the analytic (ontology) pipeline, not a participant flow diagram; a CONSORT-style participant flow diagram is not applicable given the secondary, cross-sectional, no-attrition design (confirmed via the BRANY exemption basis)</w:t>
            </w:r>
          </w:p>
        </w:tc>
      </w:tr>
      <w:tr w:rsidR="004534DE" w14:paraId="48FA9644" w14:textId="77777777">
        <w:trPr>
          <w:cantSplit/>
        </w:trPr>
        <w:tc>
          <w:tcPr>
            <w:tcW w:w="900" w:type="dxa"/>
          </w:tcPr>
          <w:p w14:paraId="6148F3F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14a</w:t>
            </w:r>
          </w:p>
        </w:tc>
        <w:tc>
          <w:tcPr>
            <w:tcW w:w="3030" w:type="dxa"/>
          </w:tcPr>
          <w:p w14:paraId="46C3981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Characteristics of participants, exposures, confounders</w:t>
            </w:r>
          </w:p>
        </w:tc>
        <w:tc>
          <w:tcPr>
            <w:tcW w:w="3115" w:type="dxa"/>
          </w:tcPr>
          <w:p w14:paraId="58AE1932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Results, “Cohort context”; Table 2</w:t>
            </w:r>
          </w:p>
        </w:tc>
        <w:tc>
          <w:tcPr>
            <w:tcW w:w="5915" w:type="dxa"/>
          </w:tcPr>
          <w:p w14:paraId="2A097C84" w14:textId="77777777" w:rsidR="004534DE" w:rsidRDefault="004534DE">
            <w:pPr>
              <w:spacing w:before="20" w:after="20" w:line="264" w:lineRule="auto"/>
            </w:pPr>
          </w:p>
        </w:tc>
      </w:tr>
      <w:tr w:rsidR="004534DE" w14:paraId="629BDD50" w14:textId="77777777">
        <w:trPr>
          <w:cantSplit/>
        </w:trPr>
        <w:tc>
          <w:tcPr>
            <w:tcW w:w="900" w:type="dxa"/>
          </w:tcPr>
          <w:p w14:paraId="50637F07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14b</w:t>
            </w:r>
          </w:p>
        </w:tc>
        <w:tc>
          <w:tcPr>
            <w:tcW w:w="3030" w:type="dxa"/>
          </w:tcPr>
          <w:p w14:paraId="140CFE98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Number of participants with missing data per variable</w:t>
            </w:r>
          </w:p>
        </w:tc>
        <w:tc>
          <w:tcPr>
            <w:tcW w:w="3115" w:type="dxa"/>
          </w:tcPr>
          <w:p w14:paraId="518FD8E5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Results, “Cohort context”; Table 2 note; S11 missingness provenance note; S12</w:t>
            </w:r>
          </w:p>
        </w:tc>
        <w:tc>
          <w:tcPr>
            <w:tcW w:w="5915" w:type="dxa"/>
          </w:tcPr>
          <w:p w14:paraId="1680B491" w14:textId="77777777" w:rsidR="004534DE" w:rsidRDefault="00000000">
            <w:pPr>
              <w:spacing w:before="20" w:after="20" w:line="264" w:lineRule="auto"/>
            </w:pPr>
            <w:r>
              <w:rPr>
                <w:sz w:val="19"/>
              </w:rPr>
              <w:t>Demographic and PROMIS missingness described. Questionnaire missingness (median 0.4% of 233 items blank or absent; three patients above 60%) was recomputed from the original questionnaires; blank indicators are not in the frozen matrix but are recorded in the S12 item-level counts.</w:t>
            </w:r>
          </w:p>
        </w:tc>
      </w:tr>
      <w:tr w:rsidR="004534DE" w14:paraId="76F9182B" w14:textId="77777777">
        <w:trPr>
          <w:cantSplit/>
        </w:trPr>
        <w:tc>
          <w:tcPr>
            <w:tcW w:w="900" w:type="dxa"/>
          </w:tcPr>
          <w:p w14:paraId="1086409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14c</w:t>
            </w:r>
          </w:p>
        </w:tc>
        <w:tc>
          <w:tcPr>
            <w:tcW w:w="3030" w:type="dxa"/>
          </w:tcPr>
          <w:p w14:paraId="0967FA35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Summarize follow-up time</w:t>
            </w:r>
          </w:p>
        </w:tc>
        <w:tc>
          <w:tcPr>
            <w:tcW w:w="3115" w:type="dxa"/>
          </w:tcPr>
          <w:p w14:paraId="74F67C92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Not applicable</w:t>
            </w:r>
          </w:p>
        </w:tc>
        <w:tc>
          <w:tcPr>
            <w:tcW w:w="5915" w:type="dxa"/>
          </w:tcPr>
          <w:p w14:paraId="2F15EB85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Cross-sectional design</w:t>
            </w:r>
          </w:p>
        </w:tc>
      </w:tr>
      <w:tr w:rsidR="004534DE" w14:paraId="30124FC0" w14:textId="77777777">
        <w:trPr>
          <w:cantSplit/>
        </w:trPr>
        <w:tc>
          <w:tcPr>
            <w:tcW w:w="900" w:type="dxa"/>
          </w:tcPr>
          <w:p w14:paraId="4D21151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15</w:t>
            </w:r>
          </w:p>
        </w:tc>
        <w:tc>
          <w:tcPr>
            <w:tcW w:w="3030" w:type="dxa"/>
          </w:tcPr>
          <w:p w14:paraId="09321927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Report numbers of outcome events or summary measures over time</w:t>
            </w:r>
          </w:p>
        </w:tc>
        <w:tc>
          <w:tcPr>
            <w:tcW w:w="3115" w:type="dxa"/>
          </w:tcPr>
          <w:p w14:paraId="61FB96D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Results, “Analysis A” and “Analysis B”; Tables 3–6</w:t>
            </w:r>
          </w:p>
        </w:tc>
        <w:tc>
          <w:tcPr>
            <w:tcW w:w="5915" w:type="dxa"/>
          </w:tcPr>
          <w:p w14:paraId="0BD61C8F" w14:textId="77777777" w:rsidR="004534DE" w:rsidRDefault="00000000">
            <w:pPr>
              <w:spacing w:before="20" w:after="20" w:line="264" w:lineRule="auto"/>
            </w:pPr>
            <w:r>
              <w:rPr>
                <w:sz w:val="19"/>
              </w:rPr>
              <w:t>Cross-sectional summary measures; no longitudinal events.</w:t>
            </w:r>
          </w:p>
        </w:tc>
      </w:tr>
      <w:tr w:rsidR="004534DE" w14:paraId="60A1C903" w14:textId="77777777">
        <w:trPr>
          <w:cantSplit/>
        </w:trPr>
        <w:tc>
          <w:tcPr>
            <w:tcW w:w="900" w:type="dxa"/>
          </w:tcPr>
          <w:p w14:paraId="498A3C4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16a</w:t>
            </w:r>
          </w:p>
        </w:tc>
        <w:tc>
          <w:tcPr>
            <w:tcW w:w="3030" w:type="dxa"/>
          </w:tcPr>
          <w:p w14:paraId="5736A31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Unadjusted (and adjusted, if applicable) estimates with precision</w:t>
            </w:r>
          </w:p>
        </w:tc>
        <w:tc>
          <w:tcPr>
            <w:tcW w:w="3115" w:type="dxa"/>
          </w:tcPr>
          <w:p w14:paraId="661A9D0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Results, “Analysis B”; Table 5; S8/S11</w:t>
            </w:r>
          </w:p>
        </w:tc>
        <w:tc>
          <w:tcPr>
            <w:tcW w:w="5915" w:type="dxa"/>
          </w:tcPr>
          <w:p w14:paraId="26067420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Allocated shares with 95% patient bootstrap CIs; no adjusted estimates.</w:t>
            </w:r>
          </w:p>
        </w:tc>
      </w:tr>
      <w:tr w:rsidR="004534DE" w14:paraId="16934ABD" w14:textId="77777777">
        <w:trPr>
          <w:cantSplit/>
        </w:trPr>
        <w:tc>
          <w:tcPr>
            <w:tcW w:w="900" w:type="dxa"/>
          </w:tcPr>
          <w:p w14:paraId="39A96CAE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16b</w:t>
            </w:r>
          </w:p>
        </w:tc>
        <w:tc>
          <w:tcPr>
            <w:tcW w:w="3030" w:type="dxa"/>
          </w:tcPr>
          <w:p w14:paraId="33BB1AF7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Report category boundaries when continuous variables were categorized</w:t>
            </w:r>
          </w:p>
        </w:tc>
        <w:tc>
          <w:tcPr>
            <w:tcW w:w="3115" w:type="dxa"/>
          </w:tcPr>
          <w:p w14:paraId="2C0641B6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Methods, “Analysis B”; Results, “Analysis B” and Table 5</w:t>
            </w:r>
          </w:p>
        </w:tc>
        <w:tc>
          <w:tcPr>
            <w:tcW w:w="5915" w:type="dxa"/>
          </w:tcPr>
          <w:p w14:paraId="07139DA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≥7 severity threshold specified</w:t>
            </w:r>
          </w:p>
        </w:tc>
      </w:tr>
      <w:tr w:rsidR="004534DE" w14:paraId="55AECB9B" w14:textId="77777777">
        <w:trPr>
          <w:cantSplit/>
        </w:trPr>
        <w:tc>
          <w:tcPr>
            <w:tcW w:w="900" w:type="dxa"/>
          </w:tcPr>
          <w:p w14:paraId="2BA6E3F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16c</w:t>
            </w:r>
          </w:p>
        </w:tc>
        <w:tc>
          <w:tcPr>
            <w:tcW w:w="3030" w:type="dxa"/>
          </w:tcPr>
          <w:p w14:paraId="3C835FA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Translate relative risk to absolute risk if relevant</w:t>
            </w:r>
          </w:p>
        </w:tc>
        <w:tc>
          <w:tcPr>
            <w:tcW w:w="3115" w:type="dxa"/>
          </w:tcPr>
          <w:p w14:paraId="16F87D7B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Not applicable</w:t>
            </w:r>
          </w:p>
        </w:tc>
        <w:tc>
          <w:tcPr>
            <w:tcW w:w="5915" w:type="dxa"/>
          </w:tcPr>
          <w:p w14:paraId="55F290EE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 relative-risk framework</w:t>
            </w:r>
          </w:p>
        </w:tc>
      </w:tr>
      <w:tr w:rsidR="004534DE" w14:paraId="1F1EBB25" w14:textId="77777777">
        <w:trPr>
          <w:cantSplit/>
        </w:trPr>
        <w:tc>
          <w:tcPr>
            <w:tcW w:w="900" w:type="dxa"/>
          </w:tcPr>
          <w:p w14:paraId="2DC5EEA6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17</w:t>
            </w:r>
          </w:p>
        </w:tc>
        <w:tc>
          <w:tcPr>
            <w:tcW w:w="3030" w:type="dxa"/>
          </w:tcPr>
          <w:p w14:paraId="1D611B0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Report other analyses (subgroups, sensitivity)</w:t>
            </w:r>
          </w:p>
        </w:tc>
        <w:tc>
          <w:tcPr>
            <w:tcW w:w="3115" w:type="dxa"/>
          </w:tcPr>
          <w:p w14:paraId="31563196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Results, “Alternative severity measures,” “Missing-data sensitivity analyses,” and “Robustness to analytic choices and to coder”; Tables 5–6; S10–S12</w:t>
            </w:r>
          </w:p>
        </w:tc>
        <w:tc>
          <w:tcPr>
            <w:tcW w:w="5915" w:type="dxa"/>
          </w:tcPr>
          <w:p w14:paraId="52B905C2" w14:textId="77777777" w:rsidR="004534DE" w:rsidRDefault="00000000">
            <w:pPr>
              <w:spacing w:before="20" w:after="20" w:line="264" w:lineRule="auto"/>
            </w:pPr>
            <w:r>
              <w:rPr>
                <w:sz w:val="19"/>
              </w:rPr>
              <w:t>Additional estimands, missing-data scenarios, and analytic/coding variants; AI coding identified explicitly.</w:t>
            </w:r>
          </w:p>
        </w:tc>
      </w:tr>
      <w:tr w:rsidR="004534DE" w14:paraId="4A5120B5" w14:textId="77777777">
        <w:trPr>
          <w:cantSplit/>
        </w:trPr>
        <w:tc>
          <w:tcPr>
            <w:tcW w:w="900" w:type="dxa"/>
          </w:tcPr>
          <w:p w14:paraId="78FE41D8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18</w:t>
            </w:r>
          </w:p>
        </w:tc>
        <w:tc>
          <w:tcPr>
            <w:tcW w:w="3030" w:type="dxa"/>
          </w:tcPr>
          <w:p w14:paraId="4D30FFA4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Summarize key results with reference to objectives</w:t>
            </w:r>
          </w:p>
        </w:tc>
        <w:tc>
          <w:tcPr>
            <w:tcW w:w="3115" w:type="dxa"/>
          </w:tcPr>
          <w:p w14:paraId="6BCC204D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Discussion, “Principal findings”</w:t>
            </w:r>
          </w:p>
        </w:tc>
        <w:tc>
          <w:tcPr>
            <w:tcW w:w="5915" w:type="dxa"/>
          </w:tcPr>
          <w:p w14:paraId="11000F21" w14:textId="77777777" w:rsidR="004534DE" w:rsidRDefault="004534DE">
            <w:pPr>
              <w:spacing w:before="20" w:after="20" w:line="264" w:lineRule="auto"/>
            </w:pPr>
          </w:p>
        </w:tc>
      </w:tr>
      <w:tr w:rsidR="004534DE" w14:paraId="2C39BEE2" w14:textId="77777777">
        <w:trPr>
          <w:cantSplit/>
        </w:trPr>
        <w:tc>
          <w:tcPr>
            <w:tcW w:w="900" w:type="dxa"/>
          </w:tcPr>
          <w:p w14:paraId="256090AE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lastRenderedPageBreak/>
              <w:t>19</w:t>
            </w:r>
          </w:p>
        </w:tc>
        <w:tc>
          <w:tcPr>
            <w:tcW w:w="3030" w:type="dxa"/>
          </w:tcPr>
          <w:p w14:paraId="049B1D49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Discuss limitations, sources of bias/imprecision, direction and magnitude</w:t>
            </w:r>
          </w:p>
        </w:tc>
        <w:tc>
          <w:tcPr>
            <w:tcW w:w="3115" w:type="dxa"/>
          </w:tcPr>
          <w:p w14:paraId="4DBF243A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Discussion, “Limitations” (full subsection)</w:t>
            </w:r>
          </w:p>
        </w:tc>
        <w:tc>
          <w:tcPr>
            <w:tcW w:w="5915" w:type="dxa"/>
          </w:tcPr>
          <w:p w14:paraId="38DDB371" w14:textId="77777777" w:rsidR="004534DE" w:rsidRDefault="004534DE">
            <w:pPr>
              <w:spacing w:before="20" w:after="20" w:line="264" w:lineRule="auto"/>
            </w:pPr>
          </w:p>
        </w:tc>
      </w:tr>
      <w:tr w:rsidR="004534DE" w14:paraId="41D78752" w14:textId="77777777">
        <w:trPr>
          <w:cantSplit/>
        </w:trPr>
        <w:tc>
          <w:tcPr>
            <w:tcW w:w="900" w:type="dxa"/>
          </w:tcPr>
          <w:p w14:paraId="3E5CACDB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20</w:t>
            </w:r>
          </w:p>
        </w:tc>
        <w:tc>
          <w:tcPr>
            <w:tcW w:w="3030" w:type="dxa"/>
          </w:tcPr>
          <w:p w14:paraId="046035B6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Cautious overall interpretation</w:t>
            </w:r>
          </w:p>
        </w:tc>
        <w:tc>
          <w:tcPr>
            <w:tcW w:w="3115" w:type="dxa"/>
          </w:tcPr>
          <w:p w14:paraId="79F94D06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Discussion (throughout); explicit disclaimers in Results and Discussion that findings are descriptive/hypothesis-generating</w:t>
            </w:r>
          </w:p>
        </w:tc>
        <w:tc>
          <w:tcPr>
            <w:tcW w:w="5915" w:type="dxa"/>
          </w:tcPr>
          <w:p w14:paraId="6C0CCB13" w14:textId="77777777" w:rsidR="004534DE" w:rsidRDefault="004534DE">
            <w:pPr>
              <w:spacing w:before="20" w:after="20" w:line="264" w:lineRule="auto"/>
            </w:pPr>
          </w:p>
        </w:tc>
      </w:tr>
      <w:tr w:rsidR="004534DE" w14:paraId="1027E655" w14:textId="77777777">
        <w:trPr>
          <w:cantSplit/>
        </w:trPr>
        <w:tc>
          <w:tcPr>
            <w:tcW w:w="900" w:type="dxa"/>
          </w:tcPr>
          <w:p w14:paraId="046F3287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21</w:t>
            </w:r>
          </w:p>
        </w:tc>
        <w:tc>
          <w:tcPr>
            <w:tcW w:w="3030" w:type="dxa"/>
          </w:tcPr>
          <w:p w14:paraId="38F22170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Discuss generalisability (external validity)</w:t>
            </w:r>
          </w:p>
        </w:tc>
        <w:tc>
          <w:tcPr>
            <w:tcW w:w="3115" w:type="dxa"/>
          </w:tcPr>
          <w:p w14:paraId="3BF98899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Discussion, “Limitations” (paragraph 1: single-site, specialty-practice referral population)</w:t>
            </w:r>
          </w:p>
        </w:tc>
        <w:tc>
          <w:tcPr>
            <w:tcW w:w="5915" w:type="dxa"/>
          </w:tcPr>
          <w:p w14:paraId="6EFA3749" w14:textId="77777777" w:rsidR="004534DE" w:rsidRDefault="004534DE">
            <w:pPr>
              <w:spacing w:before="20" w:after="20" w:line="264" w:lineRule="auto"/>
            </w:pPr>
          </w:p>
        </w:tc>
      </w:tr>
      <w:tr w:rsidR="004534DE" w14:paraId="7E0BF13F" w14:textId="77777777">
        <w:trPr>
          <w:cantSplit/>
        </w:trPr>
        <w:tc>
          <w:tcPr>
            <w:tcW w:w="900" w:type="dxa"/>
          </w:tcPr>
          <w:p w14:paraId="65BBF343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22</w:t>
            </w:r>
          </w:p>
        </w:tc>
        <w:tc>
          <w:tcPr>
            <w:tcW w:w="3030" w:type="dxa"/>
          </w:tcPr>
          <w:p w14:paraId="76704DDE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Source of funding and role of funders</w:t>
            </w:r>
          </w:p>
        </w:tc>
        <w:tc>
          <w:tcPr>
            <w:tcW w:w="3115" w:type="dxa"/>
          </w:tcPr>
          <w:p w14:paraId="4D683981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Funding section</w:t>
            </w:r>
          </w:p>
        </w:tc>
        <w:tc>
          <w:tcPr>
            <w:tcW w:w="5915" w:type="dxa"/>
          </w:tcPr>
          <w:p w14:paraId="3272ED72" w14:textId="77777777" w:rsidR="004534DE" w:rsidRDefault="00000000">
            <w:pPr>
              <w:pStyle w:val="Compact"/>
              <w:spacing w:before="20" w:after="20" w:line="264" w:lineRule="auto"/>
            </w:pPr>
            <w:r>
              <w:rPr>
                <w:sz w:val="19"/>
              </w:rPr>
              <w:t>No specific funding received</w:t>
            </w:r>
          </w:p>
        </w:tc>
      </w:tr>
    </w:tbl>
    <w:p w14:paraId="17EDDE7E" w14:textId="7CC2A44E" w:rsidR="004534DE" w:rsidRDefault="004534DE">
      <w:pPr>
        <w:pStyle w:val="BodyText"/>
      </w:pPr>
    </w:p>
    <w:sectPr w:rsidR="004534DE">
      <w:headerReference w:type="default" r:id="rId7"/>
      <w:footerReference w:type="default" r:id="rId8"/>
      <w:pgSz w:w="15840" w:h="12240" w:orient="landscape"/>
      <w:pgMar w:top="1440" w:right="1440" w:bottom="1440" w:left="1440" w:header="648" w:footer="6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8DB3DF" w14:textId="77777777" w:rsidR="00783400" w:rsidRDefault="00783400">
      <w:pPr>
        <w:spacing w:after="0"/>
      </w:pPr>
      <w:r>
        <w:separator/>
      </w:r>
    </w:p>
  </w:endnote>
  <w:endnote w:type="continuationSeparator" w:id="0">
    <w:p w14:paraId="41C46D20" w14:textId="77777777" w:rsidR="00783400" w:rsidRDefault="007834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15A073" w14:textId="77777777" w:rsidR="009F56F5" w:rsidRDefault="00000000">
    <w:pPr>
      <w:jc w:val="right"/>
    </w:pPr>
    <w:r>
      <w:rPr>
        <w:color w:val="595959"/>
        <w:sz w:val="18"/>
      </w:rPr>
      <w:t xml:space="preserve">Page </w:t>
    </w:r>
    <w:r>
      <w:rPr>
        <w:color w:val="595959"/>
        <w:sz w:val="18"/>
      </w:rPr>
      <w:fldChar w:fldCharType="begin"/>
    </w:r>
    <w:r>
      <w:rPr>
        <w:color w:val="595959"/>
        <w:sz w:val="18"/>
      </w:rPr>
      <w:instrText xml:space="preserve"> PAGE </w:instrText>
    </w:r>
    <w:r>
      <w:rPr>
        <w:color w:val="595959"/>
        <w:sz w:val="18"/>
      </w:rPr>
      <w:fldChar w:fldCharType="separate"/>
    </w:r>
    <w:r>
      <w:rPr>
        <w:color w:val="595959"/>
        <w:sz w:val="18"/>
      </w:rPr>
      <w:t>1</w:t>
    </w:r>
    <w:r>
      <w:rPr>
        <w:color w:val="595959"/>
        <w:sz w:val="18"/>
      </w:rPr>
      <w:fldChar w:fldCharType="end"/>
    </w:r>
    <w:r>
      <w:rPr>
        <w:color w:val="595959"/>
        <w:sz w:val="18"/>
      </w:rPr>
      <w:t xml:space="preserve"> of </w:t>
    </w:r>
    <w:r>
      <w:rPr>
        <w:color w:val="595959"/>
        <w:sz w:val="18"/>
      </w:rPr>
      <w:fldChar w:fldCharType="begin"/>
    </w:r>
    <w:r>
      <w:rPr>
        <w:color w:val="595959"/>
        <w:sz w:val="18"/>
      </w:rPr>
      <w:instrText xml:space="preserve"> NUMPAGES </w:instrText>
    </w:r>
    <w:r>
      <w:rPr>
        <w:color w:val="595959"/>
        <w:sz w:val="18"/>
      </w:rPr>
      <w:fldChar w:fldCharType="separate"/>
    </w:r>
    <w:r>
      <w:rPr>
        <w:color w:val="595959"/>
        <w:sz w:val="18"/>
      </w:rPr>
      <w:t>1</w:t>
    </w:r>
    <w:r>
      <w:rPr>
        <w:color w:val="595959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9AB956" w14:textId="77777777" w:rsidR="00783400" w:rsidRDefault="00783400">
      <w:r>
        <w:separator/>
      </w:r>
    </w:p>
  </w:footnote>
  <w:footnote w:type="continuationSeparator" w:id="0">
    <w:p w14:paraId="1EF827C5" w14:textId="77777777" w:rsidR="00783400" w:rsidRDefault="007834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016706" w14:textId="77777777" w:rsidR="009F56F5" w:rsidRDefault="00000000">
    <w:pPr>
      <w:pBdr>
        <w:bottom w:val="single" w:sz="4" w:space="3" w:color="BFBFBF"/>
      </w:pBdr>
    </w:pPr>
    <w:r>
      <w:rPr>
        <w:color w:val="595959"/>
        <w:sz w:val="18"/>
      </w:rPr>
      <w:t>STROBE Checklist | Cohort Studies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1AE401"/>
    <w:multiLevelType w:val="multilevel"/>
    <w:tmpl w:val="9C226192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 w16cid:durableId="19649217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11C8B"/>
    <w:rsid w:val="00100841"/>
    <w:rsid w:val="00342D22"/>
    <w:rsid w:val="004534DE"/>
    <w:rsid w:val="004E29B3"/>
    <w:rsid w:val="00512FFD"/>
    <w:rsid w:val="00590D07"/>
    <w:rsid w:val="00783400"/>
    <w:rsid w:val="00784D58"/>
    <w:rsid w:val="008D6863"/>
    <w:rsid w:val="009413B4"/>
    <w:rsid w:val="009F56F5"/>
    <w:rsid w:val="00B86B75"/>
    <w:rsid w:val="00BC48D5"/>
    <w:rsid w:val="00C36279"/>
    <w:rsid w:val="00E315A3"/>
    <w:rsid w:val="00FD22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6793BF"/>
  <w15:docId w15:val="{B2BA1046-DE37-4F48-8981-48178DB5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20" w:line="276" w:lineRule="auto"/>
    </w:pPr>
    <w:rPr>
      <w:rFonts w:ascii="Arial" w:eastAsia="Arial" w:hAnsi="Arial" w:cs="Arial"/>
      <w:color w:val="000000"/>
      <w:sz w:val="22"/>
    </w:rPr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after="80"/>
      <w:outlineLvl w:val="0"/>
    </w:pPr>
    <w:rPr>
      <w:b/>
      <w:bCs/>
      <w:sz w:val="30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40" w:after="80"/>
      <w:outlineLvl w:val="1"/>
    </w:pPr>
    <w:rPr>
      <w:b/>
      <w:bCs/>
      <w:sz w:val="24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40" w:after="80"/>
      <w:outlineLvl w:val="2"/>
    </w:pPr>
    <w:rPr>
      <w:b/>
      <w:bCs/>
      <w:sz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160" w:after="60"/>
      <w:outlineLvl w:val="3"/>
    </w:pPr>
    <w:rPr>
      <w:b/>
      <w:bCs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160" w:after="60"/>
      <w:outlineLvl w:val="4"/>
    </w:pPr>
    <w:rPr>
      <w:b/>
      <w:iCs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1329</Words>
  <Characters>7580</Characters>
  <Application>Microsoft Office Word</Application>
  <DocSecurity>0</DocSecurity>
  <Lines>63</Lines>
  <Paragraphs>17</Paragraphs>
  <ScaleCrop>false</ScaleCrop>
  <Company/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STROBE Statement — Checklist of items for reports of cohort studies</dc:title>
  <dc:creator>Valsa S. Madhava</dc:creator>
  <cp:keywords/>
  <cp:lastModifiedBy>valsa madhava</cp:lastModifiedBy>
  <cp:revision>3</cp:revision>
  <dcterms:created xsi:type="dcterms:W3CDTF">2026-10-02T20:07:00Z</dcterms:created>
  <dcterms:modified xsi:type="dcterms:W3CDTF">2026-11-03T22:11:00Z</dcterms:modified>
</cp:coreProperties>
</file>