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spacing w:after="40"/>
      </w:pPr>
      <w:bookmarkStart w:id="20" w:name="regulatory-system-codebook"/>
      <w:r>
        <w:t>S5 File. Regulatory-System Codebook</w:t>
      </w:r>
      <w:bookmarkEnd w:id="20"/>
    </w:p>
    <w:p>
      <w:pPr>
        <w:pStyle w:val="BodyText"/>
        <w:keepNext/>
        <w:spacing w:after="200"/>
        <w:pBdr>
          <w:bottom w:val="single" w:sz="6" w:space="4" w:color="A6A6A6"/>
        </w:pBdr>
      </w:pPr>
      <w:bookmarkStart w:id="20" w:name="regulatory-system-codebook"/>
      <w:r>
        <w:rPr>
          <w:b w:val="0"/>
          <w:color w:val="595959"/>
          <w:sz w:val="22"/>
        </w:rPr>
        <w:t>Benzodiazepine Withdrawal Symptom Ontology</w:t>
      </w:r>
      <w:bookmarkEnd w:id="20"/>
    </w:p>
    <w:p>
      <w:pPr>
        <w:pStyle w:val="FirstParagraph"/>
      </w:pPr>
      <w:r>
        <w:rPr>
          <w:i/>
        </w:rPr>
        <w:t xml:space="preserve">Supporting Information S5 File. Regulatory-system assignment codebook for the frozen 171-node ontology.</w:t>
      </w:r>
    </w:p>
    <w:p>
      <w:pPr>
        <w:pStyle w:val="BodyText"/>
      </w:pPr>
      <w:r>
        <w:rPr>
          <w:b/>
        </w:rPr>
        <w:t xml:space="preserve">Purpose:</w:t>
      </w:r>
      <w:r>
        <w:t xml:space="preserve"> </w:t>
      </w:r>
      <w:r>
        <w:t xml:space="preserve">detailed coding guidance for each of the 17 controlled regulatory-system labels, to support consistent independent assignment. Examples used below are</w:t>
      </w:r>
      <w:r>
        <w:t xml:space="preserve"> </w:t>
      </w:r>
      <w:r>
        <w:rPr>
          <w:b/>
        </w:rPr>
        <w:t xml:space="preserve">generic/illustrative and not drawn from the actual 171-node test set</w:t>
      </w:r>
      <w:r>
        <w:t xml:space="preserve">; this avoids leaking any real answers into a blinded reproducibility exercise. Do not treat the examples as hints about specific nodes in a coding sheet.</w:t>
      </w:r>
    </w:p>
    <w:p>
      <w:pPr>
        <w:pStyle w:val="BodyText"/>
      </w:pPr>
      <w:r>
        <w:rPr>
          <w:b/>
        </w:rPr>
        <w:t xml:space="preserve">How to use this codebook:</w:t>
      </w:r>
      <w:r>
        <w:t xml:space="preserve"> </w:t>
      </w:r>
      <w:r>
        <w:t xml:space="preserve">for each node, read its raw phrase(s) and plain-language meaning, then check it against each system’s</w:t>
      </w:r>
      <w:r>
        <w:t xml:space="preserve"> </w:t>
      </w:r>
      <w:r>
        <w:t xml:space="preserve">“</w:t>
      </w:r>
      <w:r>
        <w:t xml:space="preserve">Assign when</w:t>
      </w:r>
      <w:r>
        <w:t xml:space="preserve">”</w:t>
      </w:r>
      <w:r>
        <w:t xml:space="preserve"> </w:t>
      </w:r>
      <w:r>
        <w:t xml:space="preserve">and</w:t>
      </w:r>
      <w:r>
        <w:t xml:space="preserve"> </w:t>
      </w:r>
      <w:r>
        <w:t xml:space="preserve">“</w:t>
      </w:r>
      <w:r>
        <w:t xml:space="preserve">Do not assign when</w:t>
      </w:r>
      <w:r>
        <w:t xml:space="preserve">”</w:t>
      </w:r>
      <w:r>
        <w:t xml:space="preserve"> </w:t>
      </w:r>
      <w:r>
        <w:t xml:space="preserve">criteria below. A node can and often will receive more than one system. Assignments should follow the symptom phrase itself rather than common clinical associations unless the association is intrinsic to the phrase.</w:t>
      </w:r>
    </w:p>
    <w:p>
      <w:pPr>
        <w:pBdr>
          <w:bottom w:val="single" w:sz="4" w:space="4" w:color="BFBFBF"/>
        </w:pBdr>
        <w:spacing w:after="80"/>
      </w:pPr>
      <w:r/>
    </w:p>
    <w:p>
      <w:pPr>
        <w:pStyle w:val="Heading3"/>
      </w:pPr>
      <w:bookmarkStart w:id="21" w:name="autonomic-regulation"/>
      <w:r>
        <w:t xml:space="preserve">Autonomic regulation</w:t>
      </w:r>
      <w:bookmarkEnd w:id="21"/>
    </w:p>
    <w:p>
      <w:pPr>
        <w:pStyle w:val="FirstParagraph"/>
      </w:pPr>
      <w:r>
        <w:rPr>
          <w:b/>
        </w:rPr>
        <w:t xml:space="preserve">Definition:</w:t>
      </w:r>
      <w:r>
        <w:t xml:space="preserve"> </w:t>
      </w:r>
      <w:r>
        <w:t xml:space="preserve">the branch of nervous-system control governing largely involuntary physiological functions — cardiovascular tone, thermoregulation, sweating, pupil response, and similar automatic bodily regulation.</w:t>
      </w:r>
      <w:r>
        <w:br/>
      </w:r>
      <w:r>
        <w:rPr>
          <w:b/>
        </w:rPr>
        <w:t xml:space="preserve">Assign when:</w:t>
      </w:r>
      <w:r>
        <w:t xml:space="preserve"> </w:t>
      </w:r>
      <w:r>
        <w:t xml:space="preserve">the symptom describes a bodily process typically controlled by the autonomic nervous system (e.g., heart rate, blood pressure, sweating, temperature regulation, vascular tone).</w:t>
      </w:r>
      <w:r>
        <w:br/>
      </w:r>
      <w:r>
        <w:rPr>
          <w:b/>
        </w:rPr>
        <w:t xml:space="preserve">Do not assign when:</w:t>
      </w:r>
      <w:r>
        <w:t xml:space="preserve"> </w:t>
      </w:r>
      <w:r>
        <w:t xml:space="preserve">the symptom is a purely felt/subjective sensation with no clear connection to an autonomically-controlled physiological process (use Interoceptive regulation instead), or is a voluntary motor action.</w:t>
      </w:r>
      <w:r>
        <w:br/>
      </w:r>
      <w:r>
        <w:rPr>
          <w:b/>
        </w:rPr>
        <w:t xml:space="preserve">Illustrative example:</w:t>
      </w:r>
      <w:r>
        <w:t xml:space="preserve"> </w:t>
      </w:r>
      <w:r>
        <w:t xml:space="preserve">a symptom describing episodes of excessive sweating unrelated to temperature or exertion.</w:t>
      </w:r>
      <w:r>
        <w:br/>
      </w:r>
      <w:r>
        <w:rPr>
          <w:b/>
        </w:rPr>
        <w:t xml:space="preserve">Borderline case:</w:t>
      </w:r>
      <w:r>
        <w:t xml:space="preserve"> </w:t>
      </w:r>
      <w:r>
        <w:t xml:space="preserve">a symptom describing</w:t>
      </w:r>
      <w:r>
        <w:t xml:space="preserve"> </w:t>
      </w:r>
      <w:r>
        <w:t xml:space="preserve">“</w:t>
      </w:r>
      <w:r>
        <w:t xml:space="preserve">feeling too warm</w:t>
      </w:r>
      <w:r>
        <w:t xml:space="preserve">”</w:t>
      </w:r>
      <w:r>
        <w:t xml:space="preserve"> </w:t>
      </w:r>
      <w:r>
        <w:t xml:space="preserve">could be Autonomic (if describing an actual thermoregulatory malfunction) or Interoceptive (if describing the felt sensation of warmth without implying a control-system malfunction) — consider whether the phrase emphasizes the physiological process or the subjective experience of it.</w:t>
      </w:r>
    </w:p>
    <w:p>
      <w:pPr>
        <w:pStyle w:val="Heading3"/>
      </w:pPr>
      <w:bookmarkStart w:id="22" w:name="interoceptive-regulation"/>
      <w:r>
        <w:t xml:space="preserve">Interoceptive regulation</w:t>
      </w:r>
      <w:bookmarkEnd w:id="22"/>
    </w:p>
    <w:p>
      <w:pPr>
        <w:pStyle w:val="FirstParagraph"/>
      </w:pPr>
      <w:r>
        <w:rPr>
          <w:b/>
        </w:rPr>
        <w:t xml:space="preserve">Definition:</w:t>
      </w:r>
      <w:r>
        <w:t xml:space="preserve"> </w:t>
      </w:r>
      <w:r>
        <w:t xml:space="preserve">the sensing and awareness of internal bodily states — the felt experience of what is happening inside the body (heartbeat awareness, hunger, internal pressure, general</w:t>
      </w:r>
      <w:r>
        <w:t xml:space="preserve"> </w:t>
      </w:r>
      <w:r>
        <w:t xml:space="preserve">“</w:t>
      </w:r>
      <w:r>
        <w:t xml:space="preserve">body sense</w:t>
      </w:r>
      <w:r>
        <w:t xml:space="preserve">”</w:t>
      </w:r>
      <w:r>
        <w:t xml:space="preserve">).</w:t>
      </w:r>
      <w:r>
        <w:br/>
      </w:r>
      <w:r>
        <w:rPr>
          <w:b/>
        </w:rPr>
        <w:t xml:space="preserve">Assign when:</w:t>
      </w:r>
      <w:r>
        <w:t xml:space="preserve"> </w:t>
      </w:r>
      <w:r>
        <w:t xml:space="preserve">the symptom is fundamentally about subjective awareness/sensation of an internal bodily state, especially when no external stimulus or observable output is involved.</w:t>
      </w:r>
      <w:r>
        <w:br/>
      </w:r>
      <w:r>
        <w:rPr>
          <w:b/>
        </w:rPr>
        <w:t xml:space="preserve">Do not assign when:</w:t>
      </w:r>
      <w:r>
        <w:t xml:space="preserve"> </w:t>
      </w:r>
      <w:r>
        <w:t xml:space="preserve">the symptom is purely about an external sensory modality (vision, hearing) or a purely observable/measurable physiological change with no felt-awareness component being described.</w:t>
      </w:r>
      <w:r>
        <w:br/>
      </w:r>
      <w:r>
        <w:rPr>
          <w:b/>
        </w:rPr>
        <w:t xml:space="preserve">Illustrative example:</w:t>
      </w:r>
      <w:r>
        <w:t xml:space="preserve"> </w:t>
      </w:r>
      <w:r>
        <w:t xml:space="preserve">a symptom describing an unsettling awareness of one’s own heartbeat, independent of any confirmed rate abnormality.</w:t>
      </w:r>
      <w:r>
        <w:br/>
      </w:r>
      <w:r>
        <w:rPr>
          <w:b/>
        </w:rPr>
        <w:t xml:space="preserve">Borderline case:</w:t>
      </w:r>
      <w:r>
        <w:t xml:space="preserve"> </w:t>
      </w:r>
      <w:r>
        <w:t xml:space="preserve">almost any bodily symptom has some interoceptive component — the question is whether interoceptive awareness is central to what is being described, or merely incidental to a symptom that’s really about something else (e.g., a rash is primarily a Barrier/tissue finding, even though one is aware of it).</w:t>
      </w:r>
    </w:p>
    <w:p>
      <w:pPr>
        <w:pStyle w:val="Heading3"/>
      </w:pPr>
      <w:bookmarkStart w:id="23" w:name="sensory-processing"/>
      <w:r>
        <w:t xml:space="preserve">Sensory processing</w:t>
      </w:r>
      <w:bookmarkEnd w:id="23"/>
    </w:p>
    <w:p>
      <w:pPr>
        <w:pStyle w:val="FirstParagraph"/>
      </w:pPr>
      <w:r>
        <w:rPr>
          <w:b/>
        </w:rPr>
        <w:t xml:space="preserve">Definition:</w:t>
      </w:r>
      <w:r>
        <w:t xml:space="preserve"> </w:t>
      </w:r>
      <w:r>
        <w:t xml:space="preserve">processing of sensory input from external and vestibular modalities — vision, hearing, smell, taste, touch, and vestibular/balance sensing.</w:t>
      </w:r>
      <w:r>
        <w:br/>
      </w:r>
      <w:r>
        <w:rPr>
          <w:b/>
        </w:rPr>
        <w:t xml:space="preserve">Assign when:</w:t>
      </w:r>
      <w:r>
        <w:t xml:space="preserve"> </w:t>
      </w:r>
      <w:r>
        <w:t xml:space="preserve">the symptom describes altered perception in a sensory modality, including visual, auditory, olfactory, gustatory, tactile, or vestibular/balance sensing, including loss, hypersensitivity, distortion, or phantom perception within that modality.</w:t>
      </w:r>
      <w:r>
        <w:br/>
      </w:r>
      <w:r>
        <w:rPr>
          <w:b/>
        </w:rPr>
        <w:t xml:space="preserve">Do not assign when:</w:t>
      </w:r>
      <w:r>
        <w:t xml:space="preserve"> </w:t>
      </w:r>
      <w:r>
        <w:t xml:space="preserve">the symptom is about internal body-state awareness with no external sensory-modality component (use Interoceptive regulation), or a motor response to a sensory trigger (the response itself may need Motor regulation).</w:t>
      </w:r>
      <w:r>
        <w:br/>
      </w:r>
      <w:r>
        <w:rPr>
          <w:b/>
        </w:rPr>
        <w:t xml:space="preserve">Illustrative example:</w:t>
      </w:r>
      <w:r>
        <w:t xml:space="preserve"> </w:t>
      </w:r>
      <w:r>
        <w:t xml:space="preserve">a symptom describing unusually heightened sensitivity to bright light.</w:t>
      </w:r>
      <w:r>
        <w:br/>
      </w:r>
      <w:r>
        <w:rPr>
          <w:b/>
        </w:rPr>
        <w:t xml:space="preserve">Borderline case:</w:t>
      </w:r>
      <w:r>
        <w:t xml:space="preserve"> </w:t>
      </w:r>
      <w:r>
        <w:t xml:space="preserve">a symptom about</w:t>
      </w:r>
      <w:r>
        <w:t xml:space="preserve"> </w:t>
      </w:r>
      <w:r>
        <w:t xml:space="preserve">“</w:t>
      </w:r>
      <w:r>
        <w:t xml:space="preserve">sensitivity to loud noise causing distress</w:t>
      </w:r>
      <w:r>
        <w:t xml:space="preserve">”</w:t>
      </w:r>
      <w:r>
        <w:t xml:space="preserve"> </w:t>
      </w:r>
      <w:r>
        <w:t xml:space="preserve">could involve both Sensory processing (the auditory hypersensitivity) and Threat-arousal regulation (if the distress response is prominent) — code both if genuinely present, guided by what the phrase actually emphasizes.</w:t>
      </w:r>
    </w:p>
    <w:p>
      <w:pPr>
        <w:pStyle w:val="Heading3"/>
      </w:pPr>
      <w:bookmarkStart w:id="24" w:name="motor-regulation"/>
      <w:r>
        <w:t xml:space="preserve">Motor regulation</w:t>
      </w:r>
      <w:bookmarkEnd w:id="24"/>
    </w:p>
    <w:p>
      <w:pPr>
        <w:pStyle w:val="FirstParagraph"/>
      </w:pPr>
      <w:r>
        <w:rPr>
          <w:b/>
        </w:rPr>
        <w:t xml:space="preserve">Definition:</w:t>
      </w:r>
      <w:r>
        <w:t xml:space="preserve"> </w:t>
      </w:r>
      <w:r>
        <w:t xml:space="preserve">control of voluntary and involuntary movement, muscle tone, and observable motor output.</w:t>
      </w:r>
      <w:r>
        <w:br/>
      </w:r>
      <w:r>
        <w:rPr>
          <w:b/>
        </w:rPr>
        <w:t xml:space="preserve">Assign when:</w:t>
      </w:r>
      <w:r>
        <w:t xml:space="preserve"> </w:t>
      </w:r>
      <w:r>
        <w:t xml:space="preserve">the symptom describes an observable movement, muscle action, or motor-control problem (rhythmic shaking, weakness, spasm, coordination difficulty, a repeated physical behavior).</w:t>
      </w:r>
      <w:r>
        <w:br/>
      </w:r>
      <w:r>
        <w:rPr>
          <w:b/>
        </w:rPr>
        <w:t xml:space="preserve">Do not assign when:</w:t>
      </w:r>
      <w:r>
        <w:t xml:space="preserve"> </w:t>
      </w:r>
      <w:r>
        <w:t xml:space="preserve">the symptom is a purely felt sensation with no observable motor component (e.g., a subjective feeling of internal jitteriness with no visible rhythmic movement might be Interoceptive rather than Motor — check the phrase carefully).</w:t>
      </w:r>
      <w:r>
        <w:br/>
      </w:r>
      <w:r>
        <w:rPr>
          <w:b/>
        </w:rPr>
        <w:t xml:space="preserve">Illustrative example:</w:t>
      </w:r>
      <w:r>
        <w:t xml:space="preserve"> </w:t>
      </w:r>
      <w:r>
        <w:t xml:space="preserve">a symptom describing brief, involuntary muscle jerking movements.</w:t>
      </w:r>
      <w:r>
        <w:br/>
      </w:r>
      <w:r>
        <w:rPr>
          <w:b/>
        </w:rPr>
        <w:t xml:space="preserve">Borderline case:</w:t>
      </w:r>
      <w:r>
        <w:t xml:space="preserve"> </w:t>
      </w:r>
      <w:r>
        <w:t xml:space="preserve">“</w:t>
      </w:r>
      <w:r>
        <w:t xml:space="preserve">feels shaky</w:t>
      </w:r>
      <w:r>
        <w:t xml:space="preserve">”</w:t>
      </w:r>
      <w:r>
        <w:t xml:space="preserve"> </w:t>
      </w:r>
      <w:r>
        <w:t xml:space="preserve">(subjective, possibly not visible) vs. </w:t>
      </w:r>
      <w:r>
        <w:t xml:space="preserve">“</w:t>
      </w:r>
      <w:r>
        <w:t xml:space="preserve">visibly trembling</w:t>
      </w:r>
      <w:r>
        <w:t xml:space="preserve">”</w:t>
      </w:r>
      <w:r>
        <w:t xml:space="preserve"> </w:t>
      </w:r>
      <w:r>
        <w:t xml:space="preserve">(observable) — the same underlying word (</w:t>
      </w:r>
      <w:r>
        <w:t xml:space="preserve">“</w:t>
      </w:r>
      <w:r>
        <w:t xml:space="preserve">shaking</w:t>
      </w:r>
      <w:r>
        <w:t xml:space="preserve">”</w:t>
      </w:r>
      <w:r>
        <w:t xml:space="preserve">) can point to Interoceptive or Motor (or both) depending on whether the phrase implies an internal sensation, an external observation, or both.</w:t>
      </w:r>
    </w:p>
    <w:p>
      <w:pPr>
        <w:pStyle w:val="Heading3"/>
      </w:pPr>
      <w:bookmarkStart w:id="25" w:name="threat-arousal-regulation"/>
      <w:r>
        <w:t xml:space="preserve">Threat-arousal regulation</w:t>
      </w:r>
      <w:bookmarkEnd w:id="25"/>
    </w:p>
    <w:p>
      <w:pPr>
        <w:pStyle w:val="FirstParagraph"/>
      </w:pPr>
      <w:r>
        <w:rPr>
          <w:b/>
        </w:rPr>
        <w:t xml:space="preserve">Definition:</w:t>
      </w:r>
      <w:r>
        <w:t xml:space="preserve"> </w:t>
      </w:r>
      <w:r>
        <w:t xml:space="preserve">systems governing fear, threat detection, vigilance, and the fight-or-flight activation state.</w:t>
      </w:r>
      <w:r>
        <w:br/>
      </w:r>
      <w:r>
        <w:rPr>
          <w:b/>
        </w:rPr>
        <w:t xml:space="preserve">Assign when:</w:t>
      </w:r>
      <w:r>
        <w:t xml:space="preserve"> </w:t>
      </w:r>
      <w:r>
        <w:t xml:space="preserve">the symptom is fundamentally about fear, anxiety, alarm, or heightened threat-vigilance as the core phenomenon.</w:t>
      </w:r>
      <w:r>
        <w:br/>
      </w:r>
      <w:r>
        <w:rPr>
          <w:b/>
        </w:rPr>
        <w:t xml:space="preserve">Do not assign when:</w:t>
      </w:r>
      <w:r>
        <w:t xml:space="preserve"> </w:t>
      </w:r>
      <w:r>
        <w:t xml:space="preserve">the symptom merely commonly co-occurs with anxiety or panic in some patients but is not intrinsically a threat/fear phenomenon itself. The association must be intrinsic to the symptom as named, not just a frequent clinical context.</w:t>
      </w:r>
      <w:r>
        <w:br/>
      </w:r>
      <w:r>
        <w:rPr>
          <w:b/>
        </w:rPr>
        <w:t xml:space="preserve">Illustrative example:</w:t>
      </w:r>
      <w:r>
        <w:t xml:space="preserve"> </w:t>
      </w:r>
      <w:r>
        <w:t xml:space="preserve">a symptom describing a specific, named phobia of a particular situation.</w:t>
      </w:r>
      <w:r>
        <w:br/>
      </w:r>
      <w:r>
        <w:rPr>
          <w:b/>
        </w:rPr>
        <w:t xml:space="preserve">Borderline case:</w:t>
      </w:r>
      <w:r>
        <w:t xml:space="preserve"> </w:t>
      </w:r>
      <w:r>
        <w:t xml:space="preserve">a symptom describing generalized physical tension/tightness could plausibly occur during anxiety, but if the phrase itself does not specify a fear/threat context and the sensation is equally plausible in several unrelated contexts, do not add Threat-arousal regulation solely because it is a common association.</w:t>
      </w:r>
    </w:p>
    <w:p>
      <w:pPr>
        <w:pStyle w:val="Heading3"/>
      </w:pPr>
      <w:bookmarkStart w:id="26" w:name="sleep-wake-regulation"/>
      <w:r>
        <w:t xml:space="preserve">Sleep-wake regulation</w:t>
      </w:r>
      <w:bookmarkEnd w:id="26"/>
    </w:p>
    <w:p>
      <w:pPr>
        <w:pStyle w:val="FirstParagraph"/>
      </w:pPr>
      <w:r>
        <w:rPr>
          <w:b/>
        </w:rPr>
        <w:t xml:space="preserve">Definition:</w:t>
      </w:r>
      <w:r>
        <w:t xml:space="preserve"> </w:t>
      </w:r>
      <w:r>
        <w:t xml:space="preserve">systems governing the sleep-wake cycle, sleep architecture, and sleep-related phenomena.</w:t>
      </w:r>
      <w:r>
        <w:br/>
      </w:r>
      <w:r>
        <w:rPr>
          <w:b/>
        </w:rPr>
        <w:t xml:space="preserve">Assign when:</w:t>
      </w:r>
      <w:r>
        <w:t xml:space="preserve"> </w:t>
      </w:r>
      <w:r>
        <w:t xml:space="preserve">the symptom is specifically about falling asleep, staying asleep, sleep quality, or a phenomenon that occurs specifically during sleep or sleep transitions.</w:t>
      </w:r>
      <w:r>
        <w:br/>
      </w:r>
      <w:r>
        <w:rPr>
          <w:b/>
        </w:rPr>
        <w:t xml:space="preserve">Do not assign when:</w:t>
      </w:r>
      <w:r>
        <w:t xml:space="preserve"> </w:t>
      </w:r>
      <w:r>
        <w:t xml:space="preserve">the symptom is about daytime fatigue/tiredness with no specific reference to sleep itself (this may be better captured by State-level regulation or Interoceptive regulation).</w:t>
      </w:r>
      <w:r>
        <w:br/>
      </w:r>
      <w:r>
        <w:rPr>
          <w:b/>
        </w:rPr>
        <w:t xml:space="preserve">Illustrative example:</w:t>
      </w:r>
      <w:r>
        <w:t xml:space="preserve"> </w:t>
      </w:r>
      <w:r>
        <w:t xml:space="preserve">a symptom describing frequent middle-of-the-night waking.</w:t>
      </w:r>
      <w:r>
        <w:br/>
      </w:r>
      <w:r>
        <w:rPr>
          <w:b/>
        </w:rPr>
        <w:t xml:space="preserve">Borderline case:</w:t>
      </w:r>
      <w:r>
        <w:t xml:space="preserve"> </w:t>
      </w:r>
      <w:r>
        <w:t xml:space="preserve">“</w:t>
      </w:r>
      <w:r>
        <w:t xml:space="preserve">tired all day</w:t>
      </w:r>
      <w:r>
        <w:t xml:space="preserve">”</w:t>
      </w:r>
      <w:r>
        <w:t xml:space="preserve"> </w:t>
      </w:r>
      <w:r>
        <w:t xml:space="preserve">vs. </w:t>
      </w:r>
      <w:r>
        <w:t xml:space="preserve">“</w:t>
      </w:r>
      <w:r>
        <w:t xml:space="preserve">can’t fall asleep at night</w:t>
      </w:r>
      <w:r>
        <w:t xml:space="preserve">”</w:t>
      </w:r>
      <w:r>
        <w:t xml:space="preserve"> </w:t>
      </w:r>
      <w:r>
        <w:t xml:space="preserve">— daytime fatigue outcomes are not automatically Sleep-wake regulation unless the phrase specifically implicates the sleep-wake cycle itself, not just an energy-level consequence.</w:t>
      </w:r>
    </w:p>
    <w:p>
      <w:pPr>
        <w:pStyle w:val="Heading3"/>
      </w:pPr>
      <w:bookmarkStart w:id="27" w:name="cognitive-control"/>
      <w:r>
        <w:t xml:space="preserve">Cognitive control</w:t>
      </w:r>
      <w:bookmarkEnd w:id="27"/>
    </w:p>
    <w:p>
      <w:pPr>
        <w:pStyle w:val="FirstParagraph"/>
      </w:pPr>
      <w:r>
        <w:rPr>
          <w:b/>
        </w:rPr>
        <w:t xml:space="preserve">Definition:</w:t>
      </w:r>
      <w:r>
        <w:t xml:space="preserve"> </w:t>
      </w:r>
      <w:r>
        <w:t xml:space="preserve">higher-order mental processes — attention, memory, executive function, decision-making, information processing, and thought content/flow.</w:t>
      </w:r>
      <w:r>
        <w:br/>
      </w:r>
      <w:r>
        <w:rPr>
          <w:b/>
        </w:rPr>
        <w:t xml:space="preserve">Assign when:</w:t>
      </w:r>
      <w:r>
        <w:t xml:space="preserve"> </w:t>
      </w:r>
      <w:r>
        <w:t xml:space="preserve">the symptom describes a difficulty or alteration in thinking, attention, memory, comprehension, decision-making, or the character/flow of thoughts themselves.</w:t>
      </w:r>
      <w:r>
        <w:br/>
      </w:r>
      <w:r>
        <w:rPr>
          <w:b/>
        </w:rPr>
        <w:t xml:space="preserve">Do not assign when:</w:t>
      </w:r>
      <w:r>
        <w:t xml:space="preserve"> </w:t>
      </w:r>
      <w:r>
        <w:t xml:space="preserve">the symptom is a purely emotional/affective state with no described cognitive-process component (use Affective/reward regulation instead).</w:t>
      </w:r>
      <w:r>
        <w:br/>
      </w:r>
      <w:r>
        <w:rPr>
          <w:b/>
        </w:rPr>
        <w:t xml:space="preserve">Illustrative example:</w:t>
      </w:r>
      <w:r>
        <w:t xml:space="preserve"> </w:t>
      </w:r>
      <w:r>
        <w:t xml:space="preserve">a symptom describing difficulty following a conversation or a page of text.</w:t>
      </w:r>
      <w:r>
        <w:br/>
      </w:r>
      <w:r>
        <w:rPr>
          <w:b/>
        </w:rPr>
        <w:t xml:space="preserve">Borderline case:</w:t>
      </w:r>
      <w:r>
        <w:t xml:space="preserve"> </w:t>
      </w:r>
      <w:r>
        <w:t xml:space="preserve">“</w:t>
      </w:r>
      <w:r>
        <w:t xml:space="preserve">confused</w:t>
      </w:r>
      <w:r>
        <w:t xml:space="preserve">”</w:t>
      </w:r>
      <w:r>
        <w:t xml:space="preserve"> </w:t>
      </w:r>
      <w:r>
        <w:t xml:space="preserve">could describe a cognitive-processing problem (Cognitive control) or a broader altered state (State-level regulation, if the phrase implies a global altered condition rather than a specific cognitive-domain deficit) — both may apply.</w:t>
      </w:r>
    </w:p>
    <w:p>
      <w:pPr>
        <w:pStyle w:val="Heading3"/>
      </w:pPr>
      <w:bookmarkStart w:id="28" w:name="affectivereward-regulation"/>
      <w:r>
        <w:t xml:space="preserve">Affective/reward regulation</w:t>
      </w:r>
      <w:bookmarkEnd w:id="28"/>
    </w:p>
    <w:p>
      <w:pPr>
        <w:pStyle w:val="FirstParagraph"/>
      </w:pPr>
      <w:r>
        <w:rPr>
          <w:b/>
        </w:rPr>
        <w:t xml:space="preserve">Definition:</w:t>
      </w:r>
      <w:r>
        <w:t xml:space="preserve"> </w:t>
      </w:r>
      <w:r>
        <w:t xml:space="preserve">emotional-valence and motivational systems, including positive affect and motivation (reward, pleasure, wanting, motivation) and negative affect (distress, anger, shame, dysphoria). This label is not limited to reward circuitry despite the name. Threat-specific fear, alarm, and vigilance may also warrant Threat-arousal regulation when intrinsic to the phrase.</w:t>
      </w:r>
      <w:r>
        <w:br/>
      </w:r>
      <w:r>
        <w:rPr>
          <w:b/>
        </w:rPr>
        <w:t xml:space="preserve">Assign when:</w:t>
      </w:r>
      <w:r>
        <w:t xml:space="preserve"> </w:t>
      </w:r>
      <w:r>
        <w:t xml:space="preserve">the symptom is fundamentally about an emotional state, mood, motivation, or capacity to feel emotion (positive or negative).</w:t>
      </w:r>
      <w:r>
        <w:br/>
      </w:r>
      <w:r>
        <w:rPr>
          <w:b/>
        </w:rPr>
        <w:t xml:space="preserve">Do not assign when:</w:t>
      </w:r>
      <w:r>
        <w:t xml:space="preserve"> </w:t>
      </w:r>
      <w:r>
        <w:t xml:space="preserve">the symptom is purely a cognitive-process description with no described emotional/motivational component.</w:t>
      </w:r>
      <w:r>
        <w:br/>
      </w:r>
      <w:r>
        <w:rPr>
          <w:b/>
        </w:rPr>
        <w:t xml:space="preserve">Illustrative example:</w:t>
      </w:r>
      <w:r>
        <w:t xml:space="preserve"> </w:t>
      </w:r>
      <w:r>
        <w:t xml:space="preserve">a symptom describing a persistent inability to feel pleasure or interest in previously enjoyable activities.</w:t>
      </w:r>
      <w:r>
        <w:br/>
      </w:r>
      <w:r>
        <w:rPr>
          <w:b/>
        </w:rPr>
        <w:t xml:space="preserve">Borderline case:</w:t>
      </w:r>
      <w:r>
        <w:t xml:space="preserve"> </w:t>
      </w:r>
      <w:r>
        <w:t xml:space="preserve">irritability (a lowered threshold/disposition to react) versus a discrete episode of anger — both may involve Affective/reward regulation, but consider whether State-level regulation should also apply if the phrase describes an ongoing disposition rather than a discrete episode.</w:t>
      </w:r>
    </w:p>
    <w:p>
      <w:pPr>
        <w:pStyle w:val="Heading3"/>
      </w:pPr>
      <w:bookmarkStart w:id="29" w:name="self-bodyperceptual-integration"/>
      <w:r>
        <w:t xml:space="preserve">Self-body/perceptual integration</w:t>
      </w:r>
      <w:bookmarkEnd w:id="29"/>
    </w:p>
    <w:p>
      <w:pPr>
        <w:pStyle w:val="FirstParagraph"/>
      </w:pPr>
      <w:r>
        <w:rPr>
          <w:b/>
        </w:rPr>
        <w:t xml:space="preserve">Definition:</w:t>
      </w:r>
      <w:r>
        <w:t xml:space="preserve"> </w:t>
      </w:r>
      <w:r>
        <w:t xml:space="preserve">integration of body-ownership, body-schema, and the sense of self/reality — depersonalization, derealization, and related altered-integration phenomena.</w:t>
      </w:r>
      <w:r>
        <w:br/>
      </w:r>
      <w:r>
        <w:rPr>
          <w:b/>
        </w:rPr>
        <w:t xml:space="preserve">Assign when:</w:t>
      </w:r>
      <w:r>
        <w:t xml:space="preserve"> </w:t>
      </w:r>
      <w:r>
        <w:t xml:space="preserve">the symptom describes a felt disconnection from one’s own body, a sense of unreality about the self or the world, or an altered sense of body ownership.</w:t>
      </w:r>
      <w:r>
        <w:br/>
      </w:r>
      <w:r>
        <w:rPr>
          <w:b/>
        </w:rPr>
        <w:t xml:space="preserve">Do not assign when:</w:t>
      </w:r>
      <w:r>
        <w:t xml:space="preserve"> </w:t>
      </w:r>
      <w:r>
        <w:t xml:space="preserve">the symptom is a straightforward sensory or interoceptive complaint with no described self/body-integration disturbance — do not add this system speculatively just because a symptom is</w:t>
      </w:r>
      <w:r>
        <w:t xml:space="preserve"> </w:t>
      </w:r>
      <w:r>
        <w:t xml:space="preserve">“</w:t>
      </w:r>
      <w:r>
        <w:t xml:space="preserve">unusual</w:t>
      </w:r>
      <w:r>
        <w:t xml:space="preserve">”</w:t>
      </w:r>
      <w:r>
        <w:t xml:space="preserve"> </w:t>
      </w:r>
      <w:r>
        <w:t xml:space="preserve">or hard to categorize; it should be reserved for genuine body-ownership/derealization-type content.</w:t>
      </w:r>
      <w:r>
        <w:br/>
      </w:r>
      <w:r>
        <w:rPr>
          <w:b/>
        </w:rPr>
        <w:t xml:space="preserve">Illustrative example:</w:t>
      </w:r>
      <w:r>
        <w:t xml:space="preserve"> </w:t>
      </w:r>
      <w:r>
        <w:t xml:space="preserve">a symptom describing a feeling that a limb does not belong to one’s own body.</w:t>
      </w:r>
      <w:r>
        <w:br/>
      </w:r>
      <w:r>
        <w:rPr>
          <w:b/>
        </w:rPr>
        <w:t xml:space="preserve">Borderline case:</w:t>
      </w:r>
      <w:r>
        <w:t xml:space="preserve"> </w:t>
      </w:r>
      <w:r>
        <w:t xml:space="preserve">many</w:t>
      </w:r>
      <w:r>
        <w:t xml:space="preserve"> </w:t>
      </w:r>
      <w:r>
        <w:t xml:space="preserve">“</w:t>
      </w:r>
      <w:r>
        <w:t xml:space="preserve">strange sensation</w:t>
      </w:r>
      <w:r>
        <w:t xml:space="preserve">”</w:t>
      </w:r>
      <w:r>
        <w:t xml:space="preserve"> </w:t>
      </w:r>
      <w:r>
        <w:t xml:space="preserve">symptoms are NOT automatically Self-body/perceptual integration — reserve this system for cases with clear body-ownership, derealization, or self/world-integration content, not just general unusualness.</w:t>
      </w:r>
    </w:p>
    <w:p>
      <w:pPr>
        <w:pStyle w:val="Heading3"/>
      </w:pPr>
      <w:bookmarkStart w:id="30" w:name="X5108843ca27e3f40c81faa4a8a927051455a0ae"/>
      <w:r>
        <w:t xml:space="preserve">Neuroimmune/inflammatory-sickness signaling</w:t>
      </w:r>
      <w:bookmarkEnd w:id="30"/>
    </w:p>
    <w:p>
      <w:pPr>
        <w:pStyle w:val="FirstParagraph"/>
      </w:pPr>
      <w:r>
        <w:rPr>
          <w:b/>
        </w:rPr>
        <w:t xml:space="preserve">Definition:</w:t>
      </w:r>
      <w:r>
        <w:t xml:space="preserve"> </w:t>
      </w:r>
      <w:r>
        <w:t xml:space="preserve">immune-system-mediated</w:t>
      </w:r>
      <w:r>
        <w:t xml:space="preserve"> </w:t>
      </w:r>
      <w:r>
        <w:t xml:space="preserve">“</w:t>
      </w:r>
      <w:r>
        <w:t xml:space="preserve">sickness behavior</w:t>
      </w:r>
      <w:r>
        <w:t xml:space="preserve">”</w:t>
      </w:r>
      <w:r>
        <w:t xml:space="preserve"> </w:t>
      </w:r>
      <w:r>
        <w:t xml:space="preserve">signaling and inflammatory processes that produce systemic, flu-like, or malaise-type phenomena.</w:t>
      </w:r>
      <w:r>
        <w:br/>
      </w:r>
      <w:r>
        <w:rPr>
          <w:b/>
        </w:rPr>
        <w:t xml:space="preserve">Assign when:</w:t>
      </w:r>
      <w:r>
        <w:t xml:space="preserve"> </w:t>
      </w:r>
      <w:r>
        <w:t xml:space="preserve">the symptom describes an inflammatory finding, a</w:t>
      </w:r>
      <w:r>
        <w:t xml:space="preserve"> </w:t>
      </w:r>
      <w:r>
        <w:t xml:space="preserve">“</w:t>
      </w:r>
      <w:r>
        <w:t xml:space="preserve">sickness</w:t>
      </w:r>
      <w:r>
        <w:t xml:space="preserve">”</w:t>
      </w:r>
      <w:r>
        <w:t xml:space="preserve">-like systemic feeling, or a condition/finding with a clear inflammatory/immune component.</w:t>
      </w:r>
      <w:r>
        <w:br/>
      </w:r>
      <w:r>
        <w:rPr>
          <w:b/>
        </w:rPr>
        <w:t xml:space="preserve">Do not assign when:</w:t>
      </w:r>
      <w:r>
        <w:t xml:space="preserve"> </w:t>
      </w:r>
      <w:r>
        <w:t xml:space="preserve">the symptom is a purely mechanical, structural, or sensory finding with no inflammatory/immune-like quality described.</w:t>
      </w:r>
      <w:r>
        <w:br/>
      </w:r>
      <w:r>
        <w:rPr>
          <w:b/>
        </w:rPr>
        <w:t xml:space="preserve">Illustrative example:</w:t>
      </w:r>
      <w:r>
        <w:t xml:space="preserve"> </w:t>
      </w:r>
      <w:r>
        <w:t xml:space="preserve">a symptom describing a general flu-like malaise with no identified infection.</w:t>
      </w:r>
      <w:r>
        <w:br/>
      </w:r>
      <w:r>
        <w:rPr>
          <w:b/>
        </w:rPr>
        <w:t xml:space="preserve">Borderline case:</w:t>
      </w:r>
      <w:r>
        <w:t xml:space="preserve"> </w:t>
      </w:r>
      <w:r>
        <w:t xml:space="preserve">many condition-level/finding-type labels (an inflamed tissue, an infection-related mucosal finding) plausibly involve this system alongside Barrier/tissue/structural integrity — check whether the phrase implies inflammation/immune activity specifically, not just a structural or surface change.</w:t>
      </w:r>
    </w:p>
    <w:p>
      <w:pPr>
        <w:pStyle w:val="Heading3"/>
      </w:pPr>
      <w:bookmarkStart w:id="31" w:name="entericgi-regulation"/>
      <w:r>
        <w:t xml:space="preserve">Enteric/GI regulation</w:t>
      </w:r>
      <w:bookmarkEnd w:id="31"/>
    </w:p>
    <w:p>
      <w:pPr>
        <w:pStyle w:val="FirstParagraph"/>
      </w:pPr>
      <w:r>
        <w:rPr>
          <w:b/>
        </w:rPr>
        <w:t xml:space="preserve">Definition:</w:t>
      </w:r>
      <w:r>
        <w:t xml:space="preserve"> </w:t>
      </w:r>
      <w:r>
        <w:t xml:space="preserve">the digestive system and its nervous-system regulation — motility, secretion, sphincter control, visceral GI sensation.</w:t>
      </w:r>
      <w:r>
        <w:br/>
      </w:r>
      <w:r>
        <w:rPr>
          <w:b/>
        </w:rPr>
        <w:t xml:space="preserve">Assign when:</w:t>
      </w:r>
      <w:r>
        <w:t xml:space="preserve"> </w:t>
      </w:r>
      <w:r>
        <w:t xml:space="preserve">the symptom is located in or describes a function of the gastrointestinal tract.</w:t>
      </w:r>
      <w:r>
        <w:br/>
      </w:r>
      <w:r>
        <w:rPr>
          <w:b/>
        </w:rPr>
        <w:t xml:space="preserve">Do not assign when:</w:t>
      </w:r>
      <w:r>
        <w:t xml:space="preserve"> </w:t>
      </w:r>
      <w:r>
        <w:t xml:space="preserve">the symptom involves GI-adjacent structures but is not itself a GI-functional complaint (e.g., a purely dental complaint near the mouth is not automatically GI).</w:t>
      </w:r>
      <w:r>
        <w:br/>
      </w:r>
      <w:r>
        <w:rPr>
          <w:b/>
        </w:rPr>
        <w:t xml:space="preserve">Illustrative example:</w:t>
      </w:r>
      <w:r>
        <w:t xml:space="preserve"> </w:t>
      </w:r>
      <w:r>
        <w:t xml:space="preserve">a symptom describing frequent, uncomfortable bowel urgency.</w:t>
      </w:r>
      <w:r>
        <w:br/>
      </w:r>
      <w:r>
        <w:rPr>
          <w:b/>
        </w:rPr>
        <w:t xml:space="preserve">Borderline case:</w:t>
      </w:r>
      <w:r>
        <w:t xml:space="preserve"> </w:t>
      </w:r>
      <w:r>
        <w:t xml:space="preserve">Autonomic regulation should be added alongside Enteric/GI regulation specifically when the symptom reflects active motility, secretion, sphincter control, or visceral coordination — not automatically for every GI-related symptom. For example, a purely sensory GI-adjacent complaint such as taste disturbance would not need Autonomic regulation solely because it is mouth/GI-adjacent.</w:t>
      </w:r>
    </w:p>
    <w:p>
      <w:pPr>
        <w:pStyle w:val="Heading3"/>
      </w:pPr>
      <w:bookmarkStart w:id="32" w:name="X2f8da4007691f5e3548677291e57adeac6e7acb"/>
      <w:r>
        <w:t xml:space="preserve">Endocrine/metabolic/reproductive regulation</w:t>
      </w:r>
      <w:bookmarkEnd w:id="32"/>
    </w:p>
    <w:p>
      <w:pPr>
        <w:pStyle w:val="FirstParagraph"/>
      </w:pPr>
      <w:r>
        <w:rPr>
          <w:b/>
        </w:rPr>
        <w:t xml:space="preserve">Definition:</w:t>
      </w:r>
      <w:r>
        <w:t xml:space="preserve"> </w:t>
      </w:r>
      <w:r>
        <w:t xml:space="preserve">hormonal and metabolic regulation, including reproductive-hormonal state — distinct from Sexual/reproductive function, which covers the functional/behavioral sexual-response output rather than the underlying hormonal system.</w:t>
      </w:r>
      <w:r>
        <w:br/>
      </w:r>
      <w:r>
        <w:rPr>
          <w:b/>
        </w:rPr>
        <w:t xml:space="preserve">Assign when:</w:t>
      </w:r>
      <w:r>
        <w:t xml:space="preserve"> </w:t>
      </w:r>
      <w:r>
        <w:t xml:space="preserve">the symptom plausibly reflects hormonal, metabolic, or systemic endocrine state (appetite, weight, thyroid-related complaints, menstrual/hormonal-cycle-related complaints, energy/metabolic state).</w:t>
      </w:r>
      <w:r>
        <w:br/>
      </w:r>
      <w:r>
        <w:rPr>
          <w:b/>
        </w:rPr>
        <w:t xml:space="preserve">Do not assign when:</w:t>
      </w:r>
      <w:r>
        <w:t xml:space="preserve"> </w:t>
      </w:r>
      <w:r>
        <w:t xml:space="preserve">the association with hormones/metabolism is speculative or not clearly implied by the phrase itself.</w:t>
      </w:r>
      <w:r>
        <w:br/>
      </w:r>
      <w:r>
        <w:rPr>
          <w:b/>
        </w:rPr>
        <w:t xml:space="preserve">Illustrative example:</w:t>
      </w:r>
      <w:r>
        <w:t xml:space="preserve"> </w:t>
      </w:r>
      <w:r>
        <w:t xml:space="preserve">a symptom describing a marked, unexplained change in body weight.</w:t>
      </w:r>
      <w:r>
        <w:br/>
      </w:r>
      <w:r>
        <w:rPr>
          <w:b/>
        </w:rPr>
        <w:t xml:space="preserve">Borderline case:</w:t>
      </w:r>
      <w:r>
        <w:t xml:space="preserve"> </w:t>
      </w:r>
      <w:r>
        <w:t xml:space="preserve">breast-related symptoms, menstrual symptoms, and appetite/weight symptoms are natural fits; be more cautious about adding this system to symptoms with only a loose or generic connection to metabolism/hormones.</w:t>
      </w:r>
    </w:p>
    <w:p>
      <w:pPr>
        <w:pStyle w:val="Heading3"/>
      </w:pPr>
      <w:bookmarkStart w:id="33" w:name="pain-processing"/>
      <w:r>
        <w:t xml:space="preserve">Pain processing</w:t>
      </w:r>
      <w:bookmarkEnd w:id="33"/>
    </w:p>
    <w:p>
      <w:pPr>
        <w:pStyle w:val="FirstParagraph"/>
      </w:pPr>
      <w:r>
        <w:rPr>
          <w:b/>
        </w:rPr>
        <w:t xml:space="preserve">Definition:</w:t>
      </w:r>
      <w:r>
        <w:t xml:space="preserve"> </w:t>
      </w:r>
      <w:r>
        <w:t xml:space="preserve">nociceptive/pain-specific processing — the sensation of pain, regardless of anatomical location or presumed cause.</w:t>
      </w:r>
      <w:r>
        <w:br/>
      </w:r>
      <w:r>
        <w:rPr>
          <w:b/>
        </w:rPr>
        <w:t xml:space="preserve">Assign when:</w:t>
      </w:r>
      <w:r>
        <w:t xml:space="preserve"> </w:t>
      </w:r>
      <w:r>
        <w:t xml:space="preserve">the symptom explicitly describes pain, aching, soreness, or a similarly pain-quality sensation.</w:t>
      </w:r>
      <w:r>
        <w:br/>
      </w:r>
      <w:r>
        <w:rPr>
          <w:b/>
        </w:rPr>
        <w:t xml:space="preserve">Do not assign when:</w:t>
      </w:r>
      <w:r>
        <w:t xml:space="preserve"> </w:t>
      </w:r>
      <w:r>
        <w:t xml:space="preserve">the symptom describes discomfort, pressure, or tightness that is NOT clearly a pain-quality sensation (e.g.,</w:t>
      </w:r>
      <w:r>
        <w:t xml:space="preserve"> </w:t>
      </w:r>
      <w:r>
        <w:t xml:space="preserve">“</w:t>
      </w:r>
      <w:r>
        <w:t xml:space="preserve">tightness</w:t>
      </w:r>
      <w:r>
        <w:t xml:space="preserve">”</w:t>
      </w:r>
      <w:r>
        <w:t xml:space="preserve"> </w:t>
      </w:r>
      <w:r>
        <w:t xml:space="preserve">alone, without an explicit pain/ache descriptor, may not need this tag — consider Interoceptive regulation instead, or both if genuinely painful).</w:t>
      </w:r>
      <w:r>
        <w:br/>
      </w:r>
      <w:r>
        <w:rPr>
          <w:b/>
        </w:rPr>
        <w:t xml:space="preserve">Illustrative example:</w:t>
      </w:r>
      <w:r>
        <w:t xml:space="preserve"> </w:t>
      </w:r>
      <w:r>
        <w:t xml:space="preserve">a symptom describing persistent aching in a joint.</w:t>
      </w:r>
      <w:r>
        <w:br/>
      </w:r>
      <w:r>
        <w:rPr>
          <w:b/>
        </w:rPr>
        <w:t xml:space="preserve">Borderline case:</w:t>
      </w:r>
      <w:r>
        <w:t xml:space="preserve"> </w:t>
      </w:r>
      <w:r>
        <w:t xml:space="preserve">“</w:t>
      </w:r>
      <w:r>
        <w:t xml:space="preserve">tightness</w:t>
      </w:r>
      <w:r>
        <w:t xml:space="preserve">”</w:t>
      </w:r>
      <w:r>
        <w:t xml:space="preserve"> </w:t>
      </w:r>
      <w:r>
        <w:t xml:space="preserve">vs. </w:t>
      </w:r>
      <w:r>
        <w:t xml:space="preserve">“</w:t>
      </w:r>
      <w:r>
        <w:t xml:space="preserve">pain</w:t>
      </w:r>
      <w:r>
        <w:t xml:space="preserve">”</w:t>
      </w:r>
      <w:r>
        <w:t xml:space="preserve"> </w:t>
      </w:r>
      <w:r>
        <w:t xml:space="preserve">— read the phrase carefully; not every uncomfortable sensation is pain in the technical sense this system is meant to capture.</w:t>
      </w:r>
    </w:p>
    <w:p>
      <w:pPr>
        <w:pStyle w:val="Heading3"/>
      </w:pPr>
      <w:bookmarkStart w:id="34" w:name="barriertissuestructural-integrity"/>
      <w:r>
        <w:t xml:space="preserve">Barrier/tissue/structural integrity</w:t>
      </w:r>
      <w:bookmarkEnd w:id="34"/>
    </w:p>
    <w:p>
      <w:pPr>
        <w:pStyle w:val="FirstParagraph"/>
      </w:pPr>
      <w:r>
        <w:rPr>
          <w:b/>
        </w:rPr>
        <w:t xml:space="preserve">Definition:</w:t>
      </w:r>
      <w:r>
        <w:t xml:space="preserve"> </w:t>
      </w:r>
      <w:r>
        <w:t xml:space="preserve">tissue structure, epithelial/mucosal surfaces, skin/hair/nail/teeth/gum findings, swelling, rash, delayed healing, and visible structural or color/texture changes.</w:t>
      </w:r>
      <w:r>
        <w:br/>
      </w:r>
      <w:r>
        <w:rPr>
          <w:b/>
        </w:rPr>
        <w:t xml:space="preserve">Assign when:</w:t>
      </w:r>
      <w:r>
        <w:t xml:space="preserve"> </w:t>
      </w:r>
      <w:r>
        <w:t xml:space="preserve">the symptom describes a structural, surface, or tissue-level finding — something visible or physically structural, not purely a felt sensation.</w:t>
      </w:r>
      <w:r>
        <w:br/>
      </w:r>
      <w:r>
        <w:rPr>
          <w:b/>
        </w:rPr>
        <w:t xml:space="preserve">Do not assign when:</w:t>
      </w:r>
      <w:r>
        <w:t xml:space="preserve"> </w:t>
      </w:r>
      <w:r>
        <w:t xml:space="preserve">the symptom is a purely felt sensation with no structural/visible component (do not over-apply this tag to every bodily symptom just because it involves</w:t>
      </w:r>
      <w:r>
        <w:t xml:space="preserve"> </w:t>
      </w:r>
      <w:r>
        <w:rPr>
          <w:i/>
        </w:rPr>
        <w:t xml:space="preserve">some</w:t>
      </w:r>
      <w:r>
        <w:t xml:space="preserve"> </w:t>
      </w:r>
      <w:r>
        <w:t xml:space="preserve">part of the body — reserve it for genuine tissue/structural/surface content).</w:t>
      </w:r>
      <w:r>
        <w:br/>
      </w:r>
      <w:r>
        <w:rPr>
          <w:b/>
        </w:rPr>
        <w:t xml:space="preserve">Illustrative example:</w:t>
      </w:r>
      <w:r>
        <w:t xml:space="preserve"> </w:t>
      </w:r>
      <w:r>
        <w:t xml:space="preserve">a symptom describing a persistent, slow-healing skin abrasion.</w:t>
      </w:r>
      <w:r>
        <w:br/>
      </w:r>
      <w:r>
        <w:rPr>
          <w:b/>
        </w:rPr>
        <w:t xml:space="preserve">Borderline case:</w:t>
      </w:r>
      <w:r>
        <w:t xml:space="preserve"> </w:t>
      </w:r>
      <w:r>
        <w:t xml:space="preserve">be cautious about applying this system to sensations that merely occur</w:t>
      </w:r>
      <w:r>
        <w:t xml:space="preserve"> </w:t>
      </w:r>
      <w:r>
        <w:t xml:space="preserve">“</w:t>
      </w:r>
      <w:r>
        <w:t xml:space="preserve">in</w:t>
      </w:r>
      <w:r>
        <w:t xml:space="preserve">”</w:t>
      </w:r>
      <w:r>
        <w:t xml:space="preserve"> </w:t>
      </w:r>
      <w:r>
        <w:t xml:space="preserve">a tissue-containing body part (e.g., pain in a joint is primarily Pain processing, not automatically Barrier/tissue, unless there’s an explicit structural/visible component described).</w:t>
      </w:r>
    </w:p>
    <w:p>
      <w:pPr>
        <w:pStyle w:val="Heading3"/>
      </w:pPr>
      <w:bookmarkStart w:id="35" w:name="sexualreproductive-function"/>
      <w:r>
        <w:t xml:space="preserve">Sexual/reproductive function</w:t>
      </w:r>
      <w:bookmarkEnd w:id="35"/>
    </w:p>
    <w:p>
      <w:pPr>
        <w:pStyle w:val="FirstParagraph"/>
      </w:pPr>
      <w:r>
        <w:rPr>
          <w:b/>
        </w:rPr>
        <w:t xml:space="preserve">Definition:</w:t>
      </w:r>
      <w:r>
        <w:t xml:space="preserve"> </w:t>
      </w:r>
      <w:r>
        <w:t xml:space="preserve">the functional/behavioral output of sexual response — desire, arousal, orgasm — distinct from Endocrine/metabolic/reproductive regulation, which covers the underlying hormonal system.</w:t>
      </w:r>
      <w:r>
        <w:br/>
      </w:r>
      <w:r>
        <w:rPr>
          <w:b/>
        </w:rPr>
        <w:t xml:space="preserve">Assign when:</w:t>
      </w:r>
      <w:r>
        <w:t xml:space="preserve"> </w:t>
      </w:r>
      <w:r>
        <w:t xml:space="preserve">the symptom describes a change in sexual desire, arousal, or orgasmic function.</w:t>
      </w:r>
      <w:r>
        <w:br/>
      </w:r>
      <w:r>
        <w:rPr>
          <w:b/>
        </w:rPr>
        <w:t xml:space="preserve">Do not assign when:</w:t>
      </w:r>
      <w:r>
        <w:t xml:space="preserve"> </w:t>
      </w:r>
      <w:r>
        <w:t xml:space="preserve">the symptom is about reproductive-hormonal state without a described sexual-function component (e.g., a purely menstrual-cycle-timing complaint may not need this tag unless sexual function itself is described).</w:t>
      </w:r>
      <w:r>
        <w:br/>
      </w:r>
      <w:r>
        <w:rPr>
          <w:b/>
        </w:rPr>
        <w:t xml:space="preserve">Illustrative example:</w:t>
      </w:r>
      <w:r>
        <w:t xml:space="preserve"> </w:t>
      </w:r>
      <w:r>
        <w:t xml:space="preserve">a symptom describing a marked change in sexual desire.</w:t>
      </w:r>
      <w:r>
        <w:br/>
      </w:r>
      <w:r>
        <w:rPr>
          <w:b/>
        </w:rPr>
        <w:t xml:space="preserve">Borderline case:</w:t>
      </w:r>
      <w:r>
        <w:t xml:space="preserve"> </w:t>
      </w:r>
      <w:r>
        <w:t xml:space="preserve">desire changes might warrant both this system and Endocrine/metabolic/reproductive regulation (since desire can reflect hormonal state) and Affective/reward regulation (since desire/drive has a motivational component) — multi-tagging is expected and appropriate here.</w:t>
      </w:r>
    </w:p>
    <w:p>
      <w:pPr>
        <w:pStyle w:val="Heading3"/>
      </w:pPr>
      <w:bookmarkStart w:id="36" w:name="oralfluid-regulation"/>
      <w:r>
        <w:t xml:space="preserve">Oral/fluid regulation</w:t>
      </w:r>
      <w:bookmarkEnd w:id="36"/>
    </w:p>
    <w:p>
      <w:pPr>
        <w:pStyle w:val="FirstParagraph"/>
      </w:pPr>
      <w:r>
        <w:rPr>
          <w:b/>
        </w:rPr>
        <w:t xml:space="preserve">Definition:</w:t>
      </w:r>
      <w:r>
        <w:t xml:space="preserve"> </w:t>
      </w:r>
      <w:r>
        <w:t xml:space="preserve">fluid/secretion regulation broadly — saliva, tears/lacrimal secretion, mucosal secretions, hydration/fluid-balance state. NOT literally restricted to the mouth, despite the name.</w:t>
      </w:r>
      <w:r>
        <w:br/>
      </w:r>
      <w:r>
        <w:rPr>
          <w:b/>
        </w:rPr>
        <w:t xml:space="preserve">Assign when:</w:t>
      </w:r>
      <w:r>
        <w:t xml:space="preserve"> </w:t>
      </w:r>
      <w:r>
        <w:t xml:space="preserve">the symptom describes a fluid-secretion process (salivation, tearing, mucosal dryness/wetness) or a body-fluid/hydration state.</w:t>
      </w:r>
      <w:r>
        <w:br/>
      </w:r>
      <w:r>
        <w:rPr>
          <w:b/>
        </w:rPr>
        <w:t xml:space="preserve">Do not assign when:</w:t>
      </w:r>
      <w:r>
        <w:t xml:space="preserve"> </w:t>
      </w:r>
      <w:r>
        <w:t xml:space="preserve">the symptom involves the mouth/throat area but is not actually about a fluid/secretion process (e.g., a purely structural dental finding is not Oral/fluid regulation).</w:t>
      </w:r>
      <w:r>
        <w:br/>
      </w:r>
      <w:r>
        <w:rPr>
          <w:b/>
        </w:rPr>
        <w:t xml:space="preserve">Illustrative example:</w:t>
      </w:r>
      <w:r>
        <w:t xml:space="preserve"> </w:t>
      </w:r>
      <w:r>
        <w:t xml:space="preserve">a symptom describing persistent, uncomfortable dryness of the eyes.</w:t>
      </w:r>
      <w:r>
        <w:br/>
      </w:r>
      <w:r>
        <w:rPr>
          <w:b/>
        </w:rPr>
        <w:t xml:space="preserve">Borderline case:</w:t>
      </w:r>
      <w:r>
        <w:t xml:space="preserve"> </w:t>
      </w:r>
      <w:r>
        <w:t xml:space="preserve">excessive thirst and low-fluid bodily states both plausibly involve this system alongside Interoceptive regulation and Endocrine/metabolic/reproductive regulation (fluid/osmotic balance) — multi-tagging is expected.</w:t>
      </w:r>
    </w:p>
    <w:p>
      <w:pPr>
        <w:pStyle w:val="Heading3"/>
      </w:pPr>
      <w:bookmarkStart w:id="37" w:name="state-level-regulation"/>
      <w:r>
        <w:t xml:space="preserve">State-level regulation</w:t>
      </w:r>
      <w:bookmarkEnd w:id="37"/>
    </w:p>
    <w:p>
      <w:pPr>
        <w:pStyle w:val="FirstParagraph"/>
      </w:pPr>
      <w:r>
        <w:rPr>
          <w:b/>
        </w:rPr>
        <w:t xml:space="preserve">Definition:</w:t>
      </w:r>
      <w:r>
        <w:t xml:space="preserve"> </w:t>
      </w:r>
      <w:r>
        <w:t xml:space="preserve">reserved for broad, whole-state configurations — nodes that are not single-system phenomena but rather cross-system state constructs (e.g., a global altered-activation state, a broad instability/fluctuation construct). NOT a default add-on for anything vaguely systemic.</w:t>
      </w:r>
      <w:r>
        <w:br/>
      </w:r>
      <w:r>
        <w:rPr>
          <w:b/>
        </w:rPr>
        <w:t xml:space="preserve">Assign when:</w:t>
      </w:r>
      <w:r>
        <w:t xml:space="preserve"> </w:t>
      </w:r>
      <w:r>
        <w:t xml:space="preserve">the symptom describes a broad, cross-cutting state condition that does not reduce cleanly to one specific system — genuinely whole-body/whole-state phenomena.</w:t>
      </w:r>
      <w:r>
        <w:br/>
      </w:r>
      <w:r>
        <w:rPr>
          <w:b/>
        </w:rPr>
        <w:t xml:space="preserve">Do not assign when:</w:t>
      </w:r>
      <w:r>
        <w:t xml:space="preserve"> </w:t>
      </w:r>
      <w:r>
        <w:t xml:space="preserve">the symptom is a clear, single-system phenomenon that happens to feel intense or significant — intensity alone does not warrant this tag. Apply deliberately, not as a default hedge whenever a node is hard to categorize.</w:t>
      </w:r>
      <w:r>
        <w:br/>
      </w:r>
      <w:r>
        <w:rPr>
          <w:b/>
        </w:rPr>
        <w:t xml:space="preserve">Illustrative example:</w:t>
      </w:r>
      <w:r>
        <w:t xml:space="preserve"> </w:t>
      </w:r>
      <w:r>
        <w:t xml:space="preserve">a symptom describing a broad, unstable oscillation between multiple different physiological/emotional states over a short period.</w:t>
      </w:r>
      <w:r>
        <w:br/>
      </w:r>
      <w:r>
        <w:rPr>
          <w:b/>
        </w:rPr>
        <w:t xml:space="preserve">Borderline case:</w:t>
      </w:r>
      <w:r>
        <w:t xml:space="preserve"> </w:t>
      </w:r>
      <w:r>
        <w:t xml:space="preserve">this is the system most at risk of over-use — before assigning it, ask whether the symptom genuinely resists being captured by 1-2 specific systems, or whether it’s actually a specific-system phenomenon that just happens to feel dramatic or significant.</w:t>
      </w:r>
    </w:p>
    <w:sectPr>
      <w:headerReference w:type="default" r:id="rId9"/>
      <w:footerReference w:type="default" r:id="rId10"/>
      <w:pgSz w:w="12240" w:h="15840"/>
      <w:pgMar w:left="1440" w:right="1440" w:top="1440" w:bottom="1440" w:header="648" w:footer="64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Arial" w:hAnsi="Arial"/>
        <w:color w:val="595959"/>
        <w:sz w:val="18"/>
      </w:rPr>
      <w:t xml:space="preserve">Page </w:t>
    </w:r>
    <w:r>
      <w:rPr>
        <w:rFonts w:ascii="Arial" w:hAnsi="Arial"/>
        <w:color w:val="595959"/>
        <w:sz w:val="18"/>
      </w:rPr>
      <w:fldChar w:fldCharType="begin"/>
    </w:r>
    <w:r>
      <w:rPr>
        <w:rFonts w:ascii="Arial" w:hAnsi="Arial"/>
        <w:color w:val="595959"/>
        <w:sz w:val="18"/>
      </w:rPr>
      <w:instrText xml:space="preserve"> PAGE </w:instrText>
    </w:r>
    <w:r>
      <w:rPr>
        <w:rFonts w:ascii="Arial" w:hAnsi="Arial"/>
        <w:color w:val="595959"/>
        <w:sz w:val="18"/>
      </w:rPr>
      <w:fldChar w:fldCharType="separate"/>
    </w:r>
    <w:r>
      <w:rPr>
        <w:rFonts w:ascii="Arial" w:hAnsi="Arial"/>
        <w:color w:val="595959"/>
        <w:sz w:val="18"/>
      </w:rPr>
      <w:t>1</w:t>
    </w:r>
    <w:r>
      <w:rPr>
        <w:rFonts w:ascii="Arial" w:hAnsi="Arial"/>
        <w:color w:val="595959"/>
        <w:sz w:val="18"/>
      </w:rPr>
      <w:fldChar w:fldCharType="end"/>
    </w:r>
    <w:r>
      <w:rPr>
        <w:rFonts w:ascii="Arial" w:hAnsi="Arial"/>
        <w:color w:val="595959"/>
        <w:sz w:val="18"/>
      </w:rPr>
      <w:t xml:space="preserve"> of </w:t>
    </w:r>
    <w:r>
      <w:rPr>
        <w:rFonts w:ascii="Arial" w:hAnsi="Arial"/>
        <w:color w:val="595959"/>
        <w:sz w:val="18"/>
      </w:rPr>
      <w:fldChar w:fldCharType="begin"/>
    </w:r>
    <w:r>
      <w:rPr>
        <w:rFonts w:ascii="Arial" w:hAnsi="Arial"/>
        <w:color w:val="595959"/>
        <w:sz w:val="18"/>
      </w:rPr>
      <w:instrText xml:space="preserve"> NUMPAGES </w:instrText>
    </w:r>
    <w:r>
      <w:rPr>
        <w:rFonts w:ascii="Arial" w:hAnsi="Arial"/>
        <w:color w:val="595959"/>
        <w:sz w:val="18"/>
      </w:rPr>
      <w:fldChar w:fldCharType="separate"/>
    </w:r>
    <w:r>
      <w:rPr>
        <w:rFonts w:ascii="Arial" w:hAnsi="Arial"/>
        <w:color w:val="595959"/>
        <w:sz w:val="18"/>
      </w:rPr>
      <w:t>1</w:t>
    </w:r>
    <w:r>
      <w:rPr>
        <w:rFonts w:ascii="Arial" w:hAnsi="Arial"/>
        <w:color w:val="595959"/>
        <w:sz w:val="18"/>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3" w:color="BFBFBF"/>
      </w:pBdr>
      <w:jc w:val="left"/>
    </w:pPr>
    <w:r/>
    <w:r>
      <w:rPr>
        <w:rFonts w:ascii="Arial" w:hAnsi="Arial"/>
        <w:color w:val="595959"/>
        <w:sz w:val="18"/>
      </w:rPr>
      <w:t>S5 File | Regulatory-System Codebook</w:t>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pPr>
      <w:keepNext w:val="0"/>
      <w:widowControl/>
      <w:spacing w:before="0" w:after="120" w:line="276" w:lineRule="auto"/>
      <w:jc w:val="left"/>
    </w:pPr>
    <w:rPr>
      <w:rFonts w:ascii="Arial" w:hAnsi="Arial" w:cs="Arial" w:eastAsia="Arial"/>
      <w:color w:val="000000"/>
      <w:sz w:val="22"/>
    </w:rPr>
  </w:style>
  <w:style w:type="paragraph" w:styleId="BodyText">
    <w:name w:val="Body Text"/>
    <w:basedOn w:val="Normal"/>
    <w:link w:val="BodyTextChar"/>
    <w:pPr>
      <w:keepNext w:val="0"/>
      <w:widowControl/>
      <w:spacing w:before="0" w:after="120" w:line="276" w:lineRule="auto"/>
      <w:jc w:val="left"/>
    </w:pPr>
    <w:qFormat/>
    <w:rPr>
      <w:rFonts w:ascii="Arial" w:hAnsi="Arial" w:cs="Arial" w:eastAsia="Arial"/>
      <w:color w:val="000000"/>
      <w:sz w:val="22"/>
    </w:rPr>
  </w:style>
  <w:style w:type="paragraph" w:customStyle="1" w:styleId="FirstParagraph">
    <w:name w:val="First Paragraph"/>
    <w:basedOn w:val="BodyText"/>
    <w:next w:val="BodyText"/>
    <w:qFormat/>
    <w:pPr>
      <w:keepNext w:val="0"/>
      <w:widowControl/>
      <w:spacing w:before="0" w:after="120" w:line="276" w:lineRule="auto"/>
      <w:jc w:val="left"/>
    </w:pPr>
    <w:rPr>
      <w:rFonts w:ascii="Arial" w:hAnsi="Arial" w:cs="Arial" w:eastAsia="Arial"/>
      <w:color w:val="000000"/>
      <w:sz w:val="22"/>
    </w:rPr>
  </w:style>
  <w:style w:type="paragraph" w:customStyle="1" w:styleId="Compact">
    <w:name w:val="Compact"/>
    <w:basedOn w:val="BodyText"/>
    <w:qFormat/>
    <w:pPr>
      <w:keepNext w:val="0"/>
      <w:widowControl/>
      <w:spacing w:before="0" w:after="120" w:line="276" w:lineRule="auto"/>
      <w:jc w:val="left"/>
    </w:pPr>
    <w:rPr>
      <w:rFonts w:ascii="Arial" w:hAnsi="Arial" w:cs="Arial" w:eastAsia="Arial"/>
      <w:color w:val="000000"/>
      <w:sz w:val="22"/>
    </w:r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widowControl/>
      <w:spacing w:before="0" w:after="80" w:line="276" w:lineRule="auto"/>
      <w:jc w:val="left"/>
      <w:outlineLvl w:val="0"/>
    </w:pPr>
    <w:rPr>
      <w:rFonts w:ascii="Arial" w:hAnsi="Arial" w:cs="Arial" w:eastAsia="Arial"/>
      <w:b/>
      <w:bCs/>
      <w:i w:val="0"/>
      <w:color w:val="000000"/>
      <w:sz w:val="30"/>
      <w:szCs w:val="32"/>
    </w:rPr>
  </w:style>
  <w:style w:type="paragraph" w:styleId="Heading2">
    <w:name w:val="Heading 2"/>
    <w:basedOn w:val="Normal"/>
    <w:next w:val="BodyText"/>
    <w:uiPriority w:val="9"/>
    <w:unhideWhenUsed/>
    <w:qFormat/>
    <w:pPr>
      <w:keepNext/>
      <w:keepLines/>
      <w:widowControl/>
      <w:spacing w:before="240" w:after="80" w:line="276" w:lineRule="auto"/>
      <w:jc w:val="left"/>
      <w:outlineLvl w:val="1"/>
    </w:pPr>
    <w:rPr>
      <w:rFonts w:ascii="Arial" w:hAnsi="Arial" w:cs="Arial" w:eastAsia="Arial"/>
      <w:b/>
      <w:bCs/>
      <w:i w:val="0"/>
      <w:color w:val="000000"/>
      <w:sz w:val="24"/>
      <w:szCs w:val="28"/>
    </w:rPr>
  </w:style>
  <w:style w:type="paragraph" w:styleId="Heading3">
    <w:name w:val="Heading 3"/>
    <w:basedOn w:val="Normal"/>
    <w:next w:val="BodyText"/>
    <w:uiPriority w:val="9"/>
    <w:unhideWhenUsed/>
    <w:qFormat/>
    <w:pPr>
      <w:keepNext/>
      <w:keepLines/>
      <w:widowControl/>
      <w:spacing w:before="240" w:after="80" w:line="276" w:lineRule="auto"/>
      <w:jc w:val="left"/>
      <w:outlineLvl w:val="2"/>
    </w:pPr>
    <w:rPr>
      <w:rFonts w:ascii="Arial" w:hAnsi="Arial" w:cs="Arial" w:eastAsia="Arial"/>
      <w:b/>
      <w:bCs/>
      <w:i w:val="0"/>
      <w:color w:val="000000"/>
      <w:sz w:val="24"/>
      <w:szCs w:val="24"/>
    </w:rPr>
  </w:style>
  <w:style w:type="paragraph" w:styleId="Heading4">
    <w:name w:val="Heading 4"/>
    <w:basedOn w:val="Normal"/>
    <w:next w:val="BodyText"/>
    <w:uiPriority w:val="9"/>
    <w:unhideWhenUsed/>
    <w:qFormat/>
    <w:pPr>
      <w:keepNext/>
      <w:keepLines/>
      <w:widowControl/>
      <w:spacing w:before="160" w:after="60" w:line="276" w:lineRule="auto"/>
      <w:jc w:val="left"/>
      <w:outlineLvl w:val="3"/>
    </w:pPr>
    <w:rPr>
      <w:rFonts w:ascii="Arial" w:hAnsi="Arial" w:cs="Arial" w:eastAsia="Arial"/>
      <w:i w:val="0"/>
      <w:b/>
      <w:bCs/>
      <w:color w:val="000000"/>
      <w:sz w:val="22"/>
      <w:szCs w:val="24"/>
    </w:rPr>
  </w:style>
  <w:style w:type="paragraph" w:styleId="Heading5">
    <w:name w:val="Heading 5"/>
    <w:basedOn w:val="Normal"/>
    <w:next w:val="BodyText"/>
    <w:uiPriority w:val="9"/>
    <w:unhideWhenUsed/>
    <w:qFormat/>
    <w:pPr>
      <w:keepNext/>
      <w:keepLines/>
      <w:widowControl/>
      <w:spacing w:before="160" w:after="60" w:line="276" w:lineRule="auto"/>
      <w:jc w:val="left"/>
      <w:outlineLvl w:val="4"/>
    </w:pPr>
    <w:rPr>
      <w:rFonts w:ascii="Arial" w:hAnsi="Arial" w:cs="Arial" w:eastAsia="Arial"/>
      <w:b/>
      <w:i w:val="0"/>
      <w:iCs/>
      <w:color w:val="000000"/>
      <w:sz w:val="22"/>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keepNext w:val="0"/>
      <w:widowControl/>
      <w:spacing w:before="0" w:after="120" w:line="276" w:lineRule="auto"/>
      <w:ind w:firstLine="0" w:left="480" w:right="480"/>
      <w:jc w:val="left"/>
    </w:pPr>
    <w:rPr>
      <w:rFonts w:ascii="Arial" w:hAnsi="Arial" w:cs="Arial" w:eastAsia="Arial"/>
      <w:color w:val="000000"/>
      <w:sz w:val="22"/>
    </w:r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 File. Regulatory-System Codebook</dc:title>
  <dc:creator>Valsa S. Madhava</dc:creator>
  <cp:keywords/>
  <dcterms:created xsi:type="dcterms:W3CDTF">2026-10-20T00:42:46Z</dcterms:created>
  <dcterms:modified xsi:type="dcterms:W3CDTF">2026-10-20T00:42:46Z</dcterms:modified>
</cp:coreProperties>
</file>

<file path=docProps/custom.xml><?xml version="1.0" encoding="utf-8"?>
<Properties xmlns="http://schemas.openxmlformats.org/officeDocument/2006/custom-properties" xmlns:vt="http://schemas.openxmlformats.org/officeDocument/2006/docPropsVTypes"/>
</file>