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EB8" w14:textId="679F6D34" w:rsidR="008E7149" w:rsidRPr="008E7149" w:rsidRDefault="008E7149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u w:val="single"/>
          <w:lang w:val="en-GB"/>
        </w:rPr>
      </w:pPr>
      <w:bookmarkStart w:id="0" w:name="_Toc42508320"/>
      <w:bookmarkStart w:id="1" w:name="_Toc42510864"/>
      <w:bookmarkStart w:id="2" w:name="_Toc44420044"/>
      <w:bookmarkStart w:id="3" w:name="_Toc44498823"/>
      <w:bookmarkStart w:id="4" w:name="_Toc44516497"/>
      <w:r>
        <w:rPr>
          <w:rFonts w:ascii="Times New Roman" w:hAnsi="Times New Roman" w:cs="Times New Roman"/>
          <w:b/>
          <w:color w:val="auto"/>
          <w:szCs w:val="28"/>
          <w:u w:val="single"/>
          <w:lang w:val="en-GB"/>
        </w:rPr>
        <w:t>Supplementary material: overview of underlying assumptions for the model in our study</w:t>
      </w:r>
    </w:p>
    <w:p w14:paraId="22BD4055" w14:textId="77777777" w:rsidR="008E7149" w:rsidRDefault="008E7149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lang w:val="en-GB"/>
        </w:rPr>
      </w:pPr>
    </w:p>
    <w:p w14:paraId="1480D644" w14:textId="74094587" w:rsidR="00F52B61" w:rsidRPr="00F52B61" w:rsidRDefault="00F52B61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lang w:val="en-GB"/>
        </w:rPr>
      </w:pPr>
      <w:r w:rsidRPr="00F52B61">
        <w:rPr>
          <w:rFonts w:ascii="Times New Roman" w:hAnsi="Times New Roman" w:cs="Times New Roman"/>
          <w:b/>
          <w:color w:val="auto"/>
          <w:szCs w:val="28"/>
          <w:lang w:val="en-GB"/>
        </w:rPr>
        <w:t>Assumptions related to GPs decisions</w:t>
      </w:r>
      <w:bookmarkEnd w:id="0"/>
      <w:bookmarkEnd w:id="1"/>
      <w:bookmarkEnd w:id="2"/>
      <w:r w:rsidRPr="00F52B61">
        <w:rPr>
          <w:rFonts w:ascii="Times New Roman" w:hAnsi="Times New Roman" w:cs="Times New Roman"/>
          <w:b/>
          <w:color w:val="auto"/>
          <w:szCs w:val="28"/>
          <w:lang w:val="en-GB"/>
        </w:rPr>
        <w:t xml:space="preserve"> and diagnostics</w:t>
      </w:r>
      <w:bookmarkEnd w:id="3"/>
      <w:bookmarkEnd w:id="4"/>
    </w:p>
    <w:p w14:paraId="3CA42AE1" w14:textId="02ACA67A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When the CDR is 4 or higher, or the results are expected not to get back in time, the patient is immediately referred to undergo a CUS. This was directly done at the radiologist, as the GPs are encouraged to not send the patients to the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emergency room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010DCD4A" w14:textId="6B030845" w:rsidR="00F52B61" w:rsidRPr="00F52B61" w:rsidRDefault="0002021B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Since</w:t>
      </w:r>
      <w:r w:rsidR="00F52B61"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no information is available whether GPs perform a D-dimer when no CDR is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being </w:t>
      </w:r>
      <w:r w:rsidR="00F52B61"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used, it is assumed that all GPs performed a D-dimer if the CDR was </w:t>
      </w:r>
      <w:r w:rsidR="00CB14FA">
        <w:rPr>
          <w:rFonts w:ascii="Times New Roman" w:eastAsiaTheme="minorEastAsia" w:hAnsi="Times New Roman" w:cs="Times New Roman"/>
          <w:sz w:val="24"/>
          <w:szCs w:val="24"/>
          <w:lang w:val="en-US"/>
        </w:rPr>
        <w:t>less than 4</w:t>
      </w:r>
      <w:r w:rsidR="00F52B61"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, or when the CDR was not applied.</w:t>
      </w:r>
    </w:p>
    <w:p w14:paraId="0989314E" w14:textId="2CC7E1E9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 positive D-dimer assay means that the D-dimer </w:t>
      </w:r>
      <w:r w:rsidR="00CB14FA"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level of the patient exceeds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 certain threshold (validated by the specialist) and the patient is still eligible for DVT.</w:t>
      </w:r>
    </w:p>
    <w:p w14:paraId="6F353143" w14:textId="273A5649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the working day of a GP is from 08:00</w:t>
      </w:r>
      <w:r w:rsidR="00CB14FA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to 17:00</w:t>
      </w:r>
      <w:r w:rsidR="00CB14FA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66AFB7F5" w14:textId="51AB8672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after 13:00</w:t>
      </w:r>
      <w:r w:rsidR="00CB14FA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it was expected that results would be reported too late to send the blood sample to the laboratory for a D-dimer assay, as the results would be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received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after the GPs working hours. It takes approximately 2-3 hours to be tested and approximately 1 hour to get the results back. </w:t>
      </w:r>
    </w:p>
    <w:p w14:paraId="7E3127B6" w14:textId="609544C4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 the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fast-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POCT process, it is assumed that a GP always uses the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POCT device present at the GP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practice, and not the laboratory D-dimer assay. </w:t>
      </w:r>
    </w:p>
    <w:p w14:paraId="3ECD7F08" w14:textId="77777777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all patients that had to go to the hospital, travel with their own transportation.</w:t>
      </w:r>
    </w:p>
    <w:p w14:paraId="4C5581FD" w14:textId="77777777" w:rsidR="00F52B61" w:rsidRPr="00F52B61" w:rsidRDefault="00F52B61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lang w:val="en-GB"/>
        </w:rPr>
      </w:pPr>
      <w:bookmarkStart w:id="5" w:name="_Toc42508321"/>
      <w:bookmarkStart w:id="6" w:name="_Toc42510865"/>
    </w:p>
    <w:p w14:paraId="0768AB3E" w14:textId="77777777" w:rsidR="00F52B61" w:rsidRPr="00F52B61" w:rsidRDefault="00F52B61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lang w:val="en-GB"/>
        </w:rPr>
      </w:pPr>
      <w:bookmarkStart w:id="7" w:name="_Toc44420045"/>
      <w:bookmarkStart w:id="8" w:name="_Toc44498824"/>
      <w:bookmarkStart w:id="9" w:name="_Toc44516498"/>
      <w:r w:rsidRPr="00F52B61">
        <w:rPr>
          <w:rFonts w:ascii="Times New Roman" w:hAnsi="Times New Roman" w:cs="Times New Roman"/>
          <w:b/>
          <w:color w:val="auto"/>
          <w:szCs w:val="28"/>
          <w:lang w:val="en-GB"/>
        </w:rPr>
        <w:t>Assumptions related to probabilities</w:t>
      </w:r>
      <w:bookmarkEnd w:id="5"/>
      <w:bookmarkEnd w:id="6"/>
      <w:bookmarkEnd w:id="7"/>
      <w:bookmarkEnd w:id="8"/>
      <w:bookmarkEnd w:id="9"/>
    </w:p>
    <w:p w14:paraId="636A6C51" w14:textId="33435F54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The percentage of patients arriving before 13:00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was determined by examining GP’s daily routines. (2,3) As GPs in the Netherlands often schedule consultations in the morning between 08:00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11:00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, there is 2.75-hour time for consultations per day, 423.7 consultation hours per year as the average GP works 46 weeks with 0.67 FTE. (4,5) 74% of the consultations takes 10 minutes, and 26% is 20 minutes. The mean time per consultation is therefore 12.6 minutes, and 5044.9 consultations could take place between 08:00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-11:00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in one year per practice (2.5 GPs per practice, including a 15-minute break each morning). The total number of consultations per practice per year was 8966. (4) It was assumed that the rest of the consultations (8966 – 5044 = 3922) were evenly spread amongst the other 6 working hours of the GP. </w:t>
      </w:r>
    </w:p>
    <w:p w14:paraId="04CA3BBE" w14:textId="77777777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The diagnostic accuracies of the laboratory and POCT D-dimer assay is assumed to be the same when the CDR is or is not applied.</w:t>
      </w:r>
    </w:p>
    <w:p w14:paraId="5D62931B" w14:textId="52939A13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probabilities of testing positive or negative and the associated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sensitivity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specificity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of the laboratory and POCT D-dimer assay and the CUS were determined using the ‘Health economic decision tree models of diagnostics for dummies: a pictorial primer’ and literature on diagnostic accura</w:t>
      </w:r>
      <w:r w:rsidR="005740F6">
        <w:rPr>
          <w:rFonts w:ascii="Times New Roman" w:eastAsiaTheme="minorEastAsia" w:hAnsi="Times New Roman" w:cs="Times New Roman"/>
          <w:sz w:val="24"/>
          <w:szCs w:val="24"/>
          <w:lang w:val="en-US"/>
        </w:rPr>
        <w:t>cies and prevalence of DVT. (6)</w:t>
      </w:r>
    </w:p>
    <w:p w14:paraId="29B25DA8" w14:textId="753F4CD5" w:rsidR="00F52B61" w:rsidRPr="00F52B61" w:rsidRDefault="00F52B61" w:rsidP="00F52B61">
      <w:pPr>
        <w:pStyle w:val="Lijstaline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the diagnosis is set by the results of the CUS.</w:t>
      </w:r>
    </w:p>
    <w:p w14:paraId="3ABFD09F" w14:textId="77777777" w:rsidR="00F52B61" w:rsidRPr="00F52B61" w:rsidRDefault="00F52B61" w:rsidP="00F52B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B32E63" w14:textId="77777777" w:rsidR="00F52B61" w:rsidRPr="00F52B61" w:rsidRDefault="00F52B61" w:rsidP="00F52B61">
      <w:pPr>
        <w:pStyle w:val="Kop3"/>
        <w:jc w:val="both"/>
        <w:rPr>
          <w:rFonts w:ascii="Times New Roman" w:hAnsi="Times New Roman" w:cs="Times New Roman"/>
          <w:b/>
          <w:color w:val="auto"/>
          <w:szCs w:val="28"/>
          <w:lang w:val="en-GB"/>
        </w:rPr>
      </w:pPr>
      <w:bookmarkStart w:id="10" w:name="_Toc42508322"/>
      <w:bookmarkStart w:id="11" w:name="_Toc42510866"/>
      <w:bookmarkStart w:id="12" w:name="_Toc44420046"/>
      <w:bookmarkStart w:id="13" w:name="_Toc44498825"/>
      <w:bookmarkStart w:id="14" w:name="_Toc44516499"/>
      <w:r w:rsidRPr="00F52B61">
        <w:rPr>
          <w:rFonts w:ascii="Times New Roman" w:hAnsi="Times New Roman" w:cs="Times New Roman"/>
          <w:b/>
          <w:color w:val="auto"/>
          <w:szCs w:val="28"/>
          <w:lang w:val="en-GB"/>
        </w:rPr>
        <w:t>Assumptions related to costs</w:t>
      </w:r>
      <w:bookmarkEnd w:id="10"/>
      <w:bookmarkEnd w:id="11"/>
      <w:bookmarkEnd w:id="12"/>
      <w:r w:rsidRPr="00F52B61">
        <w:rPr>
          <w:rFonts w:ascii="Times New Roman" w:hAnsi="Times New Roman" w:cs="Times New Roman"/>
          <w:b/>
          <w:color w:val="auto"/>
          <w:szCs w:val="28"/>
          <w:lang w:val="en-GB"/>
        </w:rPr>
        <w:t xml:space="preserve"> and effects</w:t>
      </w:r>
      <w:bookmarkEnd w:id="13"/>
      <w:bookmarkEnd w:id="14"/>
    </w:p>
    <w:p w14:paraId="540788DF" w14:textId="74917DAE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the consultations where</w:t>
      </w:r>
      <w:r w:rsidR="000A7F2B">
        <w:rPr>
          <w:rFonts w:ascii="Times New Roman" w:eastAsiaTheme="minorEastAsia" w:hAnsi="Times New Roman" w:cs="Times New Roman"/>
          <w:sz w:val="24"/>
          <w:szCs w:val="24"/>
          <w:lang w:val="en-US"/>
        </w:rPr>
        <w:t>in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 D-dimer POCT is performed </w:t>
      </w:r>
      <w:r w:rsidRPr="000A7F2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in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GPs office takes up two consultations of the GP.</w:t>
      </w:r>
    </w:p>
    <w:p w14:paraId="401AA50F" w14:textId="2BB18D9E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costs for a D-dimer were assumed to be the average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of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multiple POCTs, obtained from 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five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market compan</w:t>
      </w:r>
      <w:r w:rsidR="002A481E">
        <w:rPr>
          <w:rFonts w:ascii="Times New Roman" w:eastAsiaTheme="minorEastAsia" w:hAnsi="Times New Roman" w:cs="Times New Roman"/>
          <w:sz w:val="24"/>
          <w:szCs w:val="24"/>
          <w:lang w:val="en-US"/>
        </w:rPr>
        <w:t>ies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, and included rent or procurement costs. (7)</w:t>
      </w:r>
    </w:p>
    <w:p w14:paraId="593B0651" w14:textId="77777777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It is assumed that a patient only pays parking costs at the hospital.</w:t>
      </w:r>
    </w:p>
    <w:p w14:paraId="466A56C5" w14:textId="77777777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Productivity losses are measured with the friction cost method.</w:t>
      </w:r>
    </w:p>
    <w:p w14:paraId="788FA44C" w14:textId="0C8F82DC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Cost of the treatment consisted of 50% DOAC treatment, and 50% LMWH treatment. (8,9) Moreover, it is assumed that all patients that tested positive for DVT received a compression stocking of which the costs were included in the </w:t>
      </w:r>
      <w:r w:rsidR="000A7F2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total 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treatment cost.</w:t>
      </w:r>
    </w:p>
    <w:p w14:paraId="399EE48E" w14:textId="65B107F5" w:rsidR="00F52B61" w:rsidRPr="00F52B61" w:rsidRDefault="00F52B61" w:rsidP="00F52B61">
      <w:pPr>
        <w:pStyle w:val="Lijstaline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>It is assumed that false positive patients had the same QALYs as the true positive patients, as they believe they have DVT. They only had a</w:t>
      </w:r>
      <w:r w:rsidR="000A7F2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(minor)</w:t>
      </w:r>
      <w:r w:rsidRPr="00F52B6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risk on major bleeding complications.</w:t>
      </w:r>
    </w:p>
    <w:p w14:paraId="1FB2F9A0" w14:textId="007341F9" w:rsidR="00F52B61" w:rsidRPr="00F52B61" w:rsidRDefault="00F52B61" w:rsidP="00F52B6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52B61" w:rsidRPr="00F5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228B7"/>
    <w:multiLevelType w:val="hybridMultilevel"/>
    <w:tmpl w:val="5E926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B16E3"/>
    <w:multiLevelType w:val="hybridMultilevel"/>
    <w:tmpl w:val="8584A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B61"/>
    <w:rsid w:val="0002021B"/>
    <w:rsid w:val="00020EEB"/>
    <w:rsid w:val="000A7F2B"/>
    <w:rsid w:val="002A481E"/>
    <w:rsid w:val="005740F6"/>
    <w:rsid w:val="00583D91"/>
    <w:rsid w:val="006B6156"/>
    <w:rsid w:val="006E3349"/>
    <w:rsid w:val="008E7149"/>
    <w:rsid w:val="00C95A3A"/>
    <w:rsid w:val="00CB14FA"/>
    <w:rsid w:val="00CC68A9"/>
    <w:rsid w:val="00D9369D"/>
    <w:rsid w:val="00DF18BD"/>
    <w:rsid w:val="00EB6B6E"/>
    <w:rsid w:val="00F52B61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8E72"/>
  <w15:docId w15:val="{48DB6D12-9196-46C2-8DB7-E3D9EC3E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2B61"/>
    <w:pPr>
      <w:spacing w:after="120" w:line="264" w:lineRule="auto"/>
    </w:pPr>
    <w:rPr>
      <w:rFonts w:eastAsiaTheme="minorEastAsia"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52B6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52B6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Lijstalinea">
    <w:name w:val="List Paragraph"/>
    <w:basedOn w:val="Standaard"/>
    <w:uiPriority w:val="34"/>
    <w:qFormat/>
    <w:rsid w:val="00F52B61"/>
    <w:pPr>
      <w:spacing w:after="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6B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6B6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6B6E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6B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6B6E"/>
    <w:rPr>
      <w:rFonts w:eastAsiaTheme="minorEastAsi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6B6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FBF9-0F8C-491C-B099-922C58C7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Nies</dc:creator>
  <cp:lastModifiedBy>Jorn Heerink</cp:lastModifiedBy>
  <cp:revision>2</cp:revision>
  <dcterms:created xsi:type="dcterms:W3CDTF">2021-12-15T08:44:00Z</dcterms:created>
  <dcterms:modified xsi:type="dcterms:W3CDTF">2021-12-15T08:44:00Z</dcterms:modified>
</cp:coreProperties>
</file>