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2C8D75" w14:textId="55AF5E46" w:rsidR="00EA6880" w:rsidRPr="006700AF" w:rsidRDefault="007B6A36" w:rsidP="001F331E">
      <w:pPr>
        <w:spacing w:after="120" w:line="360" w:lineRule="auto"/>
        <w:jc w:val="both"/>
        <w:rPr>
          <w:rFonts w:cs="Times New Roman"/>
          <w:color w:val="C00000"/>
          <w:sz w:val="24"/>
          <w:szCs w:val="24"/>
        </w:rPr>
      </w:pPr>
      <w:r w:rsidRPr="006700AF">
        <w:rPr>
          <w:rFonts w:cs="Times New Roman"/>
          <w:b/>
          <w:bCs/>
          <w:color w:val="C00000"/>
          <w:sz w:val="24"/>
          <w:szCs w:val="24"/>
        </w:rPr>
        <w:t xml:space="preserve">Supplementary File </w:t>
      </w:r>
      <w:r w:rsidR="003F0AE2">
        <w:rPr>
          <w:rFonts w:cs="Times New Roman"/>
          <w:b/>
          <w:bCs/>
          <w:color w:val="C00000"/>
          <w:sz w:val="24"/>
          <w:szCs w:val="24"/>
        </w:rPr>
        <w:t>1</w:t>
      </w:r>
      <w:r w:rsidRPr="006700AF">
        <w:rPr>
          <w:rFonts w:cs="Times New Roman"/>
          <w:b/>
          <w:bCs/>
          <w:color w:val="C00000"/>
          <w:sz w:val="24"/>
          <w:szCs w:val="24"/>
        </w:rPr>
        <w:t xml:space="preserve">: STROBE </w:t>
      </w:r>
      <w:r w:rsidR="0057482F" w:rsidRPr="006700AF">
        <w:rPr>
          <w:rFonts w:cs="Times New Roman"/>
          <w:b/>
          <w:bCs/>
          <w:color w:val="C00000"/>
          <w:sz w:val="24"/>
          <w:szCs w:val="24"/>
        </w:rPr>
        <w:t>Checklist</w:t>
      </w:r>
    </w:p>
    <w:p w14:paraId="3C748600" w14:textId="59E29F72" w:rsidR="005F2731" w:rsidRPr="001F331E" w:rsidRDefault="00000000" w:rsidP="001F331E">
      <w:pPr>
        <w:spacing w:after="240" w:line="360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1F331E">
        <w:rPr>
          <w:rFonts w:cs="Times New Roman"/>
          <w:color w:val="000000" w:themeColor="text1"/>
          <w:sz w:val="24"/>
          <w:szCs w:val="24"/>
        </w:rPr>
        <w:t>Prepared with reference to von Elm E, Altman DG, Egger M, Pocock SJ, Gøtzsche PC, Vandenbroucke JP. The Strengthening the Reporting of Observational Studies in Epidemiology (STROBE) statement: guidelines for reporting observational studies. Lancet. 2007; 370:1453–7</w:t>
      </w:r>
      <w:r w:rsidR="0057482F">
        <w:rPr>
          <w:rFonts w:cs="Times New Roman"/>
          <w:color w:val="000000" w:themeColor="text1"/>
          <w:sz w:val="24"/>
          <w:szCs w:val="24"/>
        </w:rPr>
        <w:t>.</w:t>
      </w:r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1001"/>
        <w:gridCol w:w="7721"/>
        <w:gridCol w:w="6306"/>
      </w:tblGrid>
      <w:tr w:rsidR="00EA6880" w:rsidRPr="001F331E" w14:paraId="1DB24D86" w14:textId="77777777" w:rsidTr="005F2731">
        <w:tc>
          <w:tcPr>
            <w:tcW w:w="333" w:type="pct"/>
          </w:tcPr>
          <w:p w14:paraId="4E6360FA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Item No.</w:t>
            </w:r>
          </w:p>
        </w:tc>
        <w:tc>
          <w:tcPr>
            <w:tcW w:w="2569" w:type="pct"/>
          </w:tcPr>
          <w:p w14:paraId="558C383A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Recommendation</w:t>
            </w:r>
          </w:p>
        </w:tc>
        <w:tc>
          <w:tcPr>
            <w:tcW w:w="2099" w:type="pct"/>
          </w:tcPr>
          <w:p w14:paraId="7F55E800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Reported on page No. (section/location)</w:t>
            </w:r>
          </w:p>
        </w:tc>
      </w:tr>
      <w:tr w:rsidR="00EA6880" w:rsidRPr="001F331E" w14:paraId="3E70FFF1" w14:textId="77777777" w:rsidTr="005F2731">
        <w:tc>
          <w:tcPr>
            <w:tcW w:w="5000" w:type="pct"/>
            <w:gridSpan w:val="3"/>
          </w:tcPr>
          <w:p w14:paraId="5C54DB61" w14:textId="77777777" w:rsidR="00EA6880" w:rsidRPr="001F331E" w:rsidRDefault="00000000" w:rsidP="005F2731">
            <w:pPr>
              <w:spacing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Title and abstract</w:t>
            </w:r>
          </w:p>
        </w:tc>
      </w:tr>
      <w:tr w:rsidR="00EA6880" w:rsidRPr="001F331E" w14:paraId="1E3432AB" w14:textId="77777777" w:rsidTr="005F2731">
        <w:tc>
          <w:tcPr>
            <w:tcW w:w="333" w:type="pct"/>
          </w:tcPr>
          <w:p w14:paraId="10178304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69" w:type="pct"/>
          </w:tcPr>
          <w:p w14:paraId="7109E859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(a) Indicate the study's design with a commonly used term in the title or the abstract</w:t>
            </w:r>
          </w:p>
          <w:p w14:paraId="24238B81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(b) Provide in the abstract an informative and balanced summary of what was done and what was found</w:t>
            </w:r>
          </w:p>
        </w:tc>
        <w:tc>
          <w:tcPr>
            <w:tcW w:w="2099" w:type="pct"/>
          </w:tcPr>
          <w:p w14:paraId="02ABA05E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p.1 (Title: “…A Dyadic Cross-Sectional Study”)</w:t>
            </w:r>
          </w:p>
          <w:p w14:paraId="0D33FB16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p.4–5 (Abstract, structured Background/Methods/Results/Conclusions)</w:t>
            </w:r>
          </w:p>
        </w:tc>
      </w:tr>
      <w:tr w:rsidR="00EA6880" w:rsidRPr="001F331E" w14:paraId="397CE74B" w14:textId="77777777" w:rsidTr="005F2731">
        <w:tc>
          <w:tcPr>
            <w:tcW w:w="5000" w:type="pct"/>
            <w:gridSpan w:val="3"/>
          </w:tcPr>
          <w:p w14:paraId="53889304" w14:textId="77777777" w:rsidR="00EA6880" w:rsidRPr="001F331E" w:rsidRDefault="00000000" w:rsidP="005F2731">
            <w:pPr>
              <w:spacing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Introduction</w:t>
            </w:r>
          </w:p>
        </w:tc>
      </w:tr>
      <w:tr w:rsidR="00EA6880" w:rsidRPr="001F331E" w14:paraId="019ED18E" w14:textId="77777777" w:rsidTr="005F2731">
        <w:tc>
          <w:tcPr>
            <w:tcW w:w="333" w:type="pct"/>
          </w:tcPr>
          <w:p w14:paraId="07C1FA85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69" w:type="pct"/>
          </w:tcPr>
          <w:p w14:paraId="37B484BA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Background/rationale – Explain the scientific background and rationale for the investigation being reported</w:t>
            </w:r>
          </w:p>
        </w:tc>
        <w:tc>
          <w:tcPr>
            <w:tcW w:w="2099" w:type="pct"/>
          </w:tcPr>
          <w:p w14:paraId="2354A731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p.6–8 (Background)</w:t>
            </w:r>
          </w:p>
        </w:tc>
      </w:tr>
      <w:tr w:rsidR="00EA6880" w:rsidRPr="001F331E" w14:paraId="5107B644" w14:textId="77777777" w:rsidTr="005F2731">
        <w:tc>
          <w:tcPr>
            <w:tcW w:w="333" w:type="pct"/>
          </w:tcPr>
          <w:p w14:paraId="44D9E464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69" w:type="pct"/>
          </w:tcPr>
          <w:p w14:paraId="761BA5D2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Objectives – State specific objectives, including any prespecified hypotheses</w:t>
            </w:r>
          </w:p>
        </w:tc>
        <w:tc>
          <w:tcPr>
            <w:tcW w:w="2099" w:type="pct"/>
          </w:tcPr>
          <w:p w14:paraId="1DB55843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p.8 (Background, final paragraph: “Thus, the primary aim of this study…”, including the prespecified hypothesis)</w:t>
            </w:r>
          </w:p>
        </w:tc>
      </w:tr>
      <w:tr w:rsidR="00EA6880" w:rsidRPr="001F331E" w14:paraId="77B31650" w14:textId="77777777" w:rsidTr="005F2731">
        <w:tc>
          <w:tcPr>
            <w:tcW w:w="5000" w:type="pct"/>
            <w:gridSpan w:val="3"/>
          </w:tcPr>
          <w:p w14:paraId="2FE823D3" w14:textId="77777777" w:rsidR="00EA6880" w:rsidRPr="001F331E" w:rsidRDefault="00000000" w:rsidP="005F2731">
            <w:pPr>
              <w:spacing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Methods</w:t>
            </w:r>
          </w:p>
        </w:tc>
      </w:tr>
      <w:tr w:rsidR="00EA6880" w:rsidRPr="001F331E" w14:paraId="3D5F1A95" w14:textId="77777777" w:rsidTr="005F2731">
        <w:tc>
          <w:tcPr>
            <w:tcW w:w="333" w:type="pct"/>
          </w:tcPr>
          <w:p w14:paraId="2C6BF1E6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69" w:type="pct"/>
          </w:tcPr>
          <w:p w14:paraId="442BE18A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Study design – Present key elements of study design early in the paper</w:t>
            </w:r>
          </w:p>
        </w:tc>
        <w:tc>
          <w:tcPr>
            <w:tcW w:w="2099" w:type="pct"/>
          </w:tcPr>
          <w:p w14:paraId="627854EE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p.8 (Study design and setting, opening sentence)</w:t>
            </w:r>
          </w:p>
        </w:tc>
      </w:tr>
      <w:tr w:rsidR="00EA6880" w:rsidRPr="001F331E" w14:paraId="30AE5699" w14:textId="77777777" w:rsidTr="005F2731">
        <w:tc>
          <w:tcPr>
            <w:tcW w:w="333" w:type="pct"/>
          </w:tcPr>
          <w:p w14:paraId="048BA418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69" w:type="pct"/>
          </w:tcPr>
          <w:p w14:paraId="7C22D7A6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Setting – Describe the setting, locations, and relevant dates, including periods of recruitment, exposure, follow-up, and data collection</w:t>
            </w:r>
          </w:p>
        </w:tc>
        <w:tc>
          <w:tcPr>
            <w:tcW w:w="2099" w:type="pct"/>
          </w:tcPr>
          <w:p w14:paraId="5FB7FE94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p.8 (Study design and setting: clinic, location, Nov 2025–May 2026 study period); p.9 (Sampling and sample size)</w:t>
            </w:r>
          </w:p>
        </w:tc>
      </w:tr>
      <w:tr w:rsidR="00EA6880" w:rsidRPr="001F331E" w14:paraId="13279EEC" w14:textId="77777777" w:rsidTr="005F2731">
        <w:tc>
          <w:tcPr>
            <w:tcW w:w="333" w:type="pct"/>
          </w:tcPr>
          <w:p w14:paraId="2B3CF577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69" w:type="pct"/>
          </w:tcPr>
          <w:p w14:paraId="5CA18D74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(a) Give the eligibility criteria, and the sources and methods of selection of participants</w:t>
            </w:r>
          </w:p>
          <w:p w14:paraId="3CBC6FF6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(b) N/A for cross-sectional design (no matching)</w:t>
            </w:r>
          </w:p>
        </w:tc>
        <w:tc>
          <w:tcPr>
            <w:tcW w:w="2099" w:type="pct"/>
          </w:tcPr>
          <w:p w14:paraId="241FFB86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p.8–9 (Participants; Sampling and sample size – consecutive recruitment)</w:t>
            </w:r>
          </w:p>
          <w:p w14:paraId="7A00FE45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N/A</w:t>
            </w:r>
          </w:p>
        </w:tc>
      </w:tr>
      <w:tr w:rsidR="00EA6880" w:rsidRPr="001F331E" w14:paraId="0C31495B" w14:textId="77777777" w:rsidTr="005F2731">
        <w:tc>
          <w:tcPr>
            <w:tcW w:w="333" w:type="pct"/>
          </w:tcPr>
          <w:p w14:paraId="72086EF7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7</w:t>
            </w:r>
          </w:p>
        </w:tc>
        <w:tc>
          <w:tcPr>
            <w:tcW w:w="2569" w:type="pct"/>
          </w:tcPr>
          <w:p w14:paraId="4895F284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Variables – Clearly define all outcomes, exposures, predictors, potential confounders, and effect modifiers; give diagnostic criteria if applicable</w:t>
            </w:r>
          </w:p>
        </w:tc>
        <w:tc>
          <w:tcPr>
            <w:tcW w:w="2099" w:type="pct"/>
          </w:tcPr>
          <w:p w14:paraId="3B85844D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p.9 (Questionnaire and behavioural exposures; M-PACTA); p.11–12 (Operational definitions of favourable brushing and phenotype; Dietary and dental-care covariates); p.12–13 (Clinical examination and outcomes – ECC/dmft diagnostic criteria)</w:t>
            </w:r>
          </w:p>
        </w:tc>
      </w:tr>
      <w:tr w:rsidR="00EA6880" w:rsidRPr="001F331E" w14:paraId="51AF514B" w14:textId="77777777" w:rsidTr="005F2731">
        <w:tc>
          <w:tcPr>
            <w:tcW w:w="333" w:type="pct"/>
          </w:tcPr>
          <w:p w14:paraId="59D7D131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569" w:type="pct"/>
          </w:tcPr>
          <w:p w14:paraId="47813A4A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Data sources/measurement – For each variable of interest, give sources of data and details of methods of assessment; describe comparability of assessment methods if more than one group</w:t>
            </w:r>
          </w:p>
        </w:tc>
        <w:tc>
          <w:tcPr>
            <w:tcW w:w="2099" w:type="pct"/>
          </w:tcPr>
          <w:p w14:paraId="43A5FB87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p.10–11 (Questionnaire validity and reliability); p.12–13 (Clinical examination and outcomes); p.13 (Examiner calibration – inter-/intra-examiner κ)</w:t>
            </w:r>
          </w:p>
        </w:tc>
      </w:tr>
      <w:tr w:rsidR="00EA6880" w:rsidRPr="001F331E" w14:paraId="14713F42" w14:textId="77777777" w:rsidTr="005F2731">
        <w:tc>
          <w:tcPr>
            <w:tcW w:w="333" w:type="pct"/>
          </w:tcPr>
          <w:p w14:paraId="4DCE8FA0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569" w:type="pct"/>
          </w:tcPr>
          <w:p w14:paraId="0868BDC0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Bias – Describe any efforts to address potential sources of bias</w:t>
            </w:r>
          </w:p>
        </w:tc>
        <w:tc>
          <w:tcPr>
            <w:tcW w:w="2099" w:type="pct"/>
          </w:tcPr>
          <w:p w14:paraId="3544334F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p.13 (Measures to minimise bias and ensure data quality)</w:t>
            </w:r>
          </w:p>
        </w:tc>
      </w:tr>
      <w:tr w:rsidR="00EA6880" w:rsidRPr="001F331E" w14:paraId="2F11D372" w14:textId="77777777" w:rsidTr="005F2731">
        <w:tc>
          <w:tcPr>
            <w:tcW w:w="333" w:type="pct"/>
          </w:tcPr>
          <w:p w14:paraId="57948D7C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569" w:type="pct"/>
          </w:tcPr>
          <w:p w14:paraId="7904A4F6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Study size – Explain how the study size was arrived at</w:t>
            </w:r>
          </w:p>
        </w:tc>
        <w:tc>
          <w:tcPr>
            <w:tcW w:w="2099" w:type="pct"/>
          </w:tcPr>
          <w:p w14:paraId="4239662E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p.9 (Sampling and sample size – a priori target of 480 dyads, power calculation)</w:t>
            </w:r>
          </w:p>
        </w:tc>
      </w:tr>
      <w:tr w:rsidR="00EA6880" w:rsidRPr="001F331E" w14:paraId="29166EC3" w14:textId="77777777" w:rsidTr="005F2731">
        <w:tc>
          <w:tcPr>
            <w:tcW w:w="333" w:type="pct"/>
          </w:tcPr>
          <w:p w14:paraId="59E982FF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569" w:type="pct"/>
          </w:tcPr>
          <w:p w14:paraId="6E534E85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Quantitative variables – Explain how quantitative variables were handled in the analyses; if applicable, describe which groupings were chosen and why</w:t>
            </w:r>
          </w:p>
        </w:tc>
        <w:tc>
          <w:tcPr>
            <w:tcW w:w="2099" w:type="pct"/>
          </w:tcPr>
          <w:p w14:paraId="0CF83503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p.11–12 (Operational definitions of favourable brushing and a dyadic phenotype; M-PACTA cut-off categories, p.9–10)</w:t>
            </w:r>
          </w:p>
        </w:tc>
      </w:tr>
      <w:tr w:rsidR="00EA6880" w:rsidRPr="001F331E" w14:paraId="28ABC38C" w14:textId="77777777" w:rsidTr="005F2731">
        <w:tc>
          <w:tcPr>
            <w:tcW w:w="333" w:type="pct"/>
          </w:tcPr>
          <w:p w14:paraId="5CA3EAEE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569" w:type="pct"/>
          </w:tcPr>
          <w:p w14:paraId="1778A03A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(a) Describe all statistical methods, including those used to control for confounding</w:t>
            </w:r>
          </w:p>
          <w:p w14:paraId="09A79CE7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(b) Describe any methods used to examine subgroups and interactions</w:t>
            </w:r>
          </w:p>
          <w:p w14:paraId="7E3AF67F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(c) Explain how missing data were addressed</w:t>
            </w:r>
          </w:p>
          <w:p w14:paraId="370F6943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(d) If applicable, describe analytical methods taking account of sampling strategy</w:t>
            </w:r>
          </w:p>
          <w:p w14:paraId="6546043B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(e) Describe any sensitivity analyses</w:t>
            </w:r>
          </w:p>
        </w:tc>
        <w:tc>
          <w:tcPr>
            <w:tcW w:w="2099" w:type="pct"/>
          </w:tcPr>
          <w:p w14:paraId="4A1D43EB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p.14–15 (Statistical analysis)</w:t>
            </w:r>
          </w:p>
          <w:p w14:paraId="5FC36B35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p.14–15 (Statistical analysis – categorical phenotype modelling, secondary UU-phenotype model)</w:t>
            </w:r>
          </w:p>
          <w:p w14:paraId="66F4AC1D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p.14 (Data completeness and analytical sample)</w:t>
            </w:r>
          </w:p>
          <w:p w14:paraId="537BC8E6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p.9 (Sampling and sample size – consecutive sampling; no complex survey weighting used)</w:t>
            </w:r>
          </w:p>
          <w:p w14:paraId="4ED6FCC4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p.11 (Operational definitions – alternative favourable-behaviour definition prespecified); p.18 (Results, Sensitivity analysis)</w:t>
            </w:r>
          </w:p>
        </w:tc>
      </w:tr>
      <w:tr w:rsidR="00EA6880" w:rsidRPr="001F331E" w14:paraId="31E01BB3" w14:textId="77777777" w:rsidTr="005F2731">
        <w:tc>
          <w:tcPr>
            <w:tcW w:w="5000" w:type="pct"/>
            <w:gridSpan w:val="3"/>
          </w:tcPr>
          <w:p w14:paraId="60798B41" w14:textId="77777777" w:rsidR="00EA6880" w:rsidRPr="001F331E" w:rsidRDefault="00000000" w:rsidP="005F2731">
            <w:pPr>
              <w:spacing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Results</w:t>
            </w:r>
          </w:p>
        </w:tc>
      </w:tr>
      <w:tr w:rsidR="00EA6880" w:rsidRPr="001F331E" w14:paraId="2B0BDC22" w14:textId="77777777" w:rsidTr="005F2731">
        <w:tc>
          <w:tcPr>
            <w:tcW w:w="333" w:type="pct"/>
          </w:tcPr>
          <w:p w14:paraId="7D9368C2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13</w:t>
            </w:r>
          </w:p>
        </w:tc>
        <w:tc>
          <w:tcPr>
            <w:tcW w:w="2569" w:type="pct"/>
          </w:tcPr>
          <w:p w14:paraId="1B26C64D" w14:textId="447003BB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 xml:space="preserve">(a) Report numbers of individuals at each stage of study – </w:t>
            </w:r>
            <w:r w:rsidR="00C2241C" w:rsidRPr="001F331E">
              <w:rPr>
                <w:rFonts w:cs="Times New Roman"/>
                <w:color w:val="000000" w:themeColor="text1"/>
                <w:sz w:val="24"/>
                <w:szCs w:val="24"/>
              </w:rPr>
              <w:t>e.g.</w:t>
            </w: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 xml:space="preserve"> numbers potentially eligible, examined for eligibility, confirmed eligible, included in the study, completing follow-up, and analysed</w:t>
            </w:r>
          </w:p>
          <w:p w14:paraId="39923A23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(b) Give reasons for non-participation at each stage</w:t>
            </w:r>
          </w:p>
          <w:p w14:paraId="39CD131A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(c) Consider use of a flow diagram</w:t>
            </w:r>
          </w:p>
        </w:tc>
        <w:tc>
          <w:tcPr>
            <w:tcW w:w="2099" w:type="pct"/>
          </w:tcPr>
          <w:p w14:paraId="0B62A3BE" w14:textId="4238717C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p.15 (Participants and clinical profile, para</w:t>
            </w:r>
            <w:r w:rsidR="00550B4C">
              <w:rPr>
                <w:rFonts w:cs="Times New Roman"/>
                <w:color w:val="000000" w:themeColor="text1"/>
                <w:sz w:val="24"/>
                <w:szCs w:val="24"/>
              </w:rPr>
              <w:t>graph</w:t>
            </w: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. 1: 564 eligible → 511 consented → 486 analysed)</w:t>
            </w:r>
          </w:p>
          <w:p w14:paraId="62305496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p.15 (same paragraph: consultation ended before clinical examination for 21; 4 further excluded for insufficient paired brushing data)</w:t>
            </w:r>
          </w:p>
          <w:p w14:paraId="7329F0E8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Figure 1 (Participant flow diagram – legend p.32)</w:t>
            </w:r>
          </w:p>
        </w:tc>
      </w:tr>
      <w:tr w:rsidR="00EA6880" w:rsidRPr="001F331E" w14:paraId="11CBFF6E" w14:textId="77777777" w:rsidTr="005F2731">
        <w:tc>
          <w:tcPr>
            <w:tcW w:w="333" w:type="pct"/>
          </w:tcPr>
          <w:p w14:paraId="0108D4C1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569" w:type="pct"/>
          </w:tcPr>
          <w:p w14:paraId="4AD69FC4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(a) Give characteristics of study participants and information on exposures and potential confounders</w:t>
            </w:r>
          </w:p>
          <w:p w14:paraId="26BC1020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(b) Indicate number of participants with missing data for each variable of interest</w:t>
            </w:r>
          </w:p>
        </w:tc>
        <w:tc>
          <w:tcPr>
            <w:tcW w:w="2099" w:type="pct"/>
          </w:tcPr>
          <w:p w14:paraId="17C36C7A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p.15 (Participants and clinical profile) and Table 1 (p.33)</w:t>
            </w:r>
          </w:p>
          <w:p w14:paraId="3F25376C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p.14 (Data completeness and analytical sample); p.9 (fluoride-status “unknown/unsure” responses excluded from that kappa only)</w:t>
            </w:r>
          </w:p>
        </w:tc>
      </w:tr>
      <w:tr w:rsidR="00EA6880" w:rsidRPr="001F331E" w14:paraId="76731E54" w14:textId="77777777" w:rsidTr="005F2731">
        <w:tc>
          <w:tcPr>
            <w:tcW w:w="333" w:type="pct"/>
          </w:tcPr>
          <w:p w14:paraId="5A12E697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569" w:type="pct"/>
          </w:tcPr>
          <w:p w14:paraId="22252193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Outcome data – Report numbers of outcome events or summary measures</w:t>
            </w:r>
          </w:p>
        </w:tc>
        <w:tc>
          <w:tcPr>
            <w:tcW w:w="2099" w:type="pct"/>
          </w:tcPr>
          <w:p w14:paraId="0585BB67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p.15 (ECC prevalence 57.2%, mean dmft 3.16) and Table 1 (p.33); Table 4 (p.36, ECC/dmft by phenotype)</w:t>
            </w:r>
          </w:p>
        </w:tc>
      </w:tr>
      <w:tr w:rsidR="00EA6880" w:rsidRPr="001F331E" w14:paraId="435C3FE2" w14:textId="77777777" w:rsidTr="005F2731">
        <w:tc>
          <w:tcPr>
            <w:tcW w:w="333" w:type="pct"/>
          </w:tcPr>
          <w:p w14:paraId="395F7A65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569" w:type="pct"/>
          </w:tcPr>
          <w:p w14:paraId="1EE75487" w14:textId="5260DB53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(a) Give unadjusted and, if applicable, confounder-adjusted estimates and their precision (</w:t>
            </w:r>
            <w:r w:rsidR="00C2241C" w:rsidRPr="001F331E">
              <w:rPr>
                <w:rFonts w:cs="Times New Roman"/>
                <w:color w:val="000000" w:themeColor="text1"/>
                <w:sz w:val="24"/>
                <w:szCs w:val="24"/>
              </w:rPr>
              <w:t>e.g.</w:t>
            </w: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 xml:space="preserve"> 95% CI); state which confounders were adjusted for and why</w:t>
            </w:r>
          </w:p>
          <w:p w14:paraId="2BA27EBC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(b) Report category boundaries when continuous variables were categorized</w:t>
            </w:r>
          </w:p>
          <w:p w14:paraId="13E4B4E9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(c) If relevant, translate estimates of relative risk into absolute risk for a meaningful time period</w:t>
            </w:r>
          </w:p>
        </w:tc>
        <w:tc>
          <w:tcPr>
            <w:tcW w:w="2099" w:type="pct"/>
          </w:tcPr>
          <w:p w14:paraId="47FD147A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p.16–18 (Multivariable associations) and Tables 5–7 (p.37–39); adjustment set justified in Statistical analysis, p.14–15</w:t>
            </w:r>
          </w:p>
          <w:p w14:paraId="5307713F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p.11–12 (Operational definitions – age-band and behaviour-frequency cut-points); p.12 (≥ 3 times/day sugar-exposure threshold)</w:t>
            </w:r>
          </w:p>
          <w:p w14:paraId="5F90716D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Not applicable – a cross-sectional design; adjusted ORs/IRRs are reported rather than absolute risks over a time period. Group-specific ECC prevalence (Table 4, p.36) provides an absolute-risk-type comparator across phenotypes.</w:t>
            </w:r>
          </w:p>
        </w:tc>
      </w:tr>
      <w:tr w:rsidR="00EA6880" w:rsidRPr="001F331E" w14:paraId="31D9691C" w14:textId="77777777" w:rsidTr="005F2731">
        <w:tc>
          <w:tcPr>
            <w:tcW w:w="333" w:type="pct"/>
          </w:tcPr>
          <w:p w14:paraId="450BA069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569" w:type="pct"/>
          </w:tcPr>
          <w:p w14:paraId="6A15B7C8" w14:textId="1272771D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 xml:space="preserve">Other analyses – Report other analyses done – </w:t>
            </w:r>
            <w:r w:rsidR="00C2241C" w:rsidRPr="001F331E">
              <w:rPr>
                <w:rFonts w:cs="Times New Roman"/>
                <w:color w:val="000000" w:themeColor="text1"/>
                <w:sz w:val="24"/>
                <w:szCs w:val="24"/>
              </w:rPr>
              <w:t>e.g.</w:t>
            </w: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 xml:space="preserve"> analyses of subgroups and interactions, and sensitivity analyses</w:t>
            </w:r>
          </w:p>
        </w:tc>
        <w:tc>
          <w:tcPr>
            <w:tcW w:w="2099" w:type="pct"/>
          </w:tcPr>
          <w:p w14:paraId="5E38531D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p.17–18 (Multivariable associations – secondary UU-phenotype model, Table 7 p.39); p.18 (Sensitivity analysis)</w:t>
            </w:r>
          </w:p>
        </w:tc>
      </w:tr>
      <w:tr w:rsidR="00EA6880" w:rsidRPr="001F331E" w14:paraId="74DA7649" w14:textId="77777777" w:rsidTr="005F2731">
        <w:tc>
          <w:tcPr>
            <w:tcW w:w="5000" w:type="pct"/>
            <w:gridSpan w:val="3"/>
          </w:tcPr>
          <w:p w14:paraId="7CA22E63" w14:textId="77777777" w:rsidR="00EA6880" w:rsidRPr="001F331E" w:rsidRDefault="00000000" w:rsidP="005F2731">
            <w:pPr>
              <w:spacing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Discussion</w:t>
            </w:r>
          </w:p>
        </w:tc>
      </w:tr>
      <w:tr w:rsidR="00EA6880" w:rsidRPr="001F331E" w14:paraId="7A25FD04" w14:textId="77777777" w:rsidTr="005F2731">
        <w:tc>
          <w:tcPr>
            <w:tcW w:w="333" w:type="pct"/>
          </w:tcPr>
          <w:p w14:paraId="7BF8C521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569" w:type="pct"/>
          </w:tcPr>
          <w:p w14:paraId="11AF7183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Key results – Summarise key results with reference to study objectives</w:t>
            </w:r>
          </w:p>
        </w:tc>
        <w:tc>
          <w:tcPr>
            <w:tcW w:w="2099" w:type="pct"/>
          </w:tcPr>
          <w:p w14:paraId="12A25F12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p.18 (Discussion, opening paragraph)</w:t>
            </w:r>
          </w:p>
        </w:tc>
      </w:tr>
      <w:tr w:rsidR="00EA6880" w:rsidRPr="001F331E" w14:paraId="748F3060" w14:textId="77777777" w:rsidTr="005F2731">
        <w:tc>
          <w:tcPr>
            <w:tcW w:w="333" w:type="pct"/>
          </w:tcPr>
          <w:p w14:paraId="1E688D99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569" w:type="pct"/>
          </w:tcPr>
          <w:p w14:paraId="2C0CE5E6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Limitations – Discuss limitations of the study, taking into account sources of potential bias or imprecision; discuss both direction and magnitude of any potential bias</w:t>
            </w:r>
          </w:p>
        </w:tc>
        <w:tc>
          <w:tcPr>
            <w:tcW w:w="2099" w:type="pct"/>
          </w:tcPr>
          <w:p w14:paraId="05DC6EB1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p.22 (Discussion, limitations paragraph – eight numbered points)</w:t>
            </w:r>
          </w:p>
        </w:tc>
      </w:tr>
      <w:tr w:rsidR="00EA6880" w:rsidRPr="001F331E" w14:paraId="1EDA1C1E" w14:textId="77777777" w:rsidTr="005F2731">
        <w:tc>
          <w:tcPr>
            <w:tcW w:w="333" w:type="pct"/>
          </w:tcPr>
          <w:p w14:paraId="343FB5EE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569" w:type="pct"/>
          </w:tcPr>
          <w:p w14:paraId="0B334A40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Interpretation – Give a cautious overall interpretation considering objectives, limitations, multiplicity of analyses, results from similar studies, and other relevant evidence</w:t>
            </w:r>
          </w:p>
        </w:tc>
        <w:tc>
          <w:tcPr>
            <w:tcW w:w="2099" w:type="pct"/>
          </w:tcPr>
          <w:p w14:paraId="49B4241C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p.18–23 (Discussion, throughout – phenotype-specific interpretation, M-PACTA circularity caution, comparison with prior literature)</w:t>
            </w:r>
          </w:p>
        </w:tc>
      </w:tr>
      <w:tr w:rsidR="00EA6880" w:rsidRPr="001F331E" w14:paraId="047DE6F7" w14:textId="77777777" w:rsidTr="005F2731">
        <w:tc>
          <w:tcPr>
            <w:tcW w:w="333" w:type="pct"/>
          </w:tcPr>
          <w:p w14:paraId="30756B7D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569" w:type="pct"/>
          </w:tcPr>
          <w:p w14:paraId="23A963EB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Generalisability – Discuss the generalisability (external validity) of the study results</w:t>
            </w:r>
          </w:p>
        </w:tc>
        <w:tc>
          <w:tcPr>
            <w:tcW w:w="2099" w:type="pct"/>
          </w:tcPr>
          <w:p w14:paraId="346AE91E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p.22 (Discussion, limitations paragraph – single-centre, clinic-based Selangor sample)</w:t>
            </w:r>
          </w:p>
        </w:tc>
      </w:tr>
      <w:tr w:rsidR="00EA6880" w:rsidRPr="001F331E" w14:paraId="6E7A9081" w14:textId="77777777" w:rsidTr="005F2731">
        <w:tc>
          <w:tcPr>
            <w:tcW w:w="5000" w:type="pct"/>
            <w:gridSpan w:val="3"/>
          </w:tcPr>
          <w:p w14:paraId="6D1234A5" w14:textId="77777777" w:rsidR="00EA6880" w:rsidRPr="001F331E" w:rsidRDefault="00000000" w:rsidP="005F2731">
            <w:pPr>
              <w:spacing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Other information</w:t>
            </w:r>
          </w:p>
        </w:tc>
      </w:tr>
      <w:tr w:rsidR="00EA6880" w:rsidRPr="001F331E" w14:paraId="326CCACA" w14:textId="77777777" w:rsidTr="005F2731">
        <w:tc>
          <w:tcPr>
            <w:tcW w:w="333" w:type="pct"/>
          </w:tcPr>
          <w:p w14:paraId="6F069AB9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569" w:type="pct"/>
          </w:tcPr>
          <w:p w14:paraId="6B6AA0C4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Funding – Give the source of funding and the role of the funders for the present study and, if applicable, for the original study on which the present article is based</w:t>
            </w:r>
          </w:p>
        </w:tc>
        <w:tc>
          <w:tcPr>
            <w:tcW w:w="2099" w:type="pct"/>
          </w:tcPr>
          <w:p w14:paraId="74A67F41" w14:textId="77777777" w:rsidR="00EA6880" w:rsidRPr="001F331E" w:rsidRDefault="00000000" w:rsidP="005F2731">
            <w:pPr>
              <w:spacing w:after="4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F331E">
              <w:rPr>
                <w:rFonts w:cs="Times New Roman"/>
                <w:color w:val="000000" w:themeColor="text1"/>
                <w:sz w:val="24"/>
                <w:szCs w:val="24"/>
              </w:rPr>
              <w:t>p.25 (Declarations – Funding)</w:t>
            </w:r>
          </w:p>
        </w:tc>
      </w:tr>
    </w:tbl>
    <w:p w14:paraId="12AC69B3" w14:textId="77777777" w:rsidR="00EA6880" w:rsidRPr="001F331E" w:rsidRDefault="00EA6880" w:rsidP="001F331E">
      <w:pPr>
        <w:spacing w:before="200" w:line="360" w:lineRule="auto"/>
        <w:jc w:val="both"/>
        <w:rPr>
          <w:rFonts w:cs="Times New Roman"/>
          <w:color w:val="000000" w:themeColor="text1"/>
          <w:sz w:val="24"/>
          <w:szCs w:val="24"/>
        </w:rPr>
      </w:pPr>
    </w:p>
    <w:sectPr w:rsidR="00EA6880" w:rsidRPr="001F331E">
      <w:pgSz w:w="16838" w:h="11906"/>
      <w:pgMar w:top="900" w:right="900" w:bottom="9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80861E5"/>
    <w:multiLevelType w:val="hybridMultilevel"/>
    <w:tmpl w:val="B44C5B38"/>
    <w:lvl w:ilvl="0" w:tplc="0D04C6B0">
      <w:start w:val="1"/>
      <w:numFmt w:val="bullet"/>
      <w:lvlText w:val="●"/>
      <w:lvlJc w:val="left"/>
      <w:pPr>
        <w:ind w:left="720" w:hanging="360"/>
      </w:pPr>
    </w:lvl>
    <w:lvl w:ilvl="1" w:tplc="EFCE3292">
      <w:start w:val="1"/>
      <w:numFmt w:val="bullet"/>
      <w:lvlText w:val="○"/>
      <w:lvlJc w:val="left"/>
      <w:pPr>
        <w:ind w:left="1440" w:hanging="360"/>
      </w:pPr>
    </w:lvl>
    <w:lvl w:ilvl="2" w:tplc="5880AB8A">
      <w:start w:val="1"/>
      <w:numFmt w:val="bullet"/>
      <w:lvlText w:val="■"/>
      <w:lvlJc w:val="left"/>
      <w:pPr>
        <w:ind w:left="2160" w:hanging="360"/>
      </w:pPr>
    </w:lvl>
    <w:lvl w:ilvl="3" w:tplc="7ED4E788">
      <w:start w:val="1"/>
      <w:numFmt w:val="bullet"/>
      <w:lvlText w:val="●"/>
      <w:lvlJc w:val="left"/>
      <w:pPr>
        <w:ind w:left="2880" w:hanging="360"/>
      </w:pPr>
    </w:lvl>
    <w:lvl w:ilvl="4" w:tplc="08F88146">
      <w:start w:val="1"/>
      <w:numFmt w:val="bullet"/>
      <w:lvlText w:val="○"/>
      <w:lvlJc w:val="left"/>
      <w:pPr>
        <w:ind w:left="3600" w:hanging="360"/>
      </w:pPr>
    </w:lvl>
    <w:lvl w:ilvl="5" w:tplc="EE668556">
      <w:start w:val="1"/>
      <w:numFmt w:val="bullet"/>
      <w:lvlText w:val="■"/>
      <w:lvlJc w:val="left"/>
      <w:pPr>
        <w:ind w:left="4320" w:hanging="360"/>
      </w:pPr>
    </w:lvl>
    <w:lvl w:ilvl="6" w:tplc="9D0696C6">
      <w:start w:val="1"/>
      <w:numFmt w:val="bullet"/>
      <w:lvlText w:val="●"/>
      <w:lvlJc w:val="left"/>
      <w:pPr>
        <w:ind w:left="5040" w:hanging="360"/>
      </w:pPr>
    </w:lvl>
    <w:lvl w:ilvl="7" w:tplc="C2140F20">
      <w:start w:val="1"/>
      <w:numFmt w:val="bullet"/>
      <w:lvlText w:val="●"/>
      <w:lvlJc w:val="left"/>
      <w:pPr>
        <w:ind w:left="5760" w:hanging="360"/>
      </w:pPr>
    </w:lvl>
    <w:lvl w:ilvl="8" w:tplc="ABC4FF1A">
      <w:start w:val="1"/>
      <w:numFmt w:val="bullet"/>
      <w:lvlText w:val="●"/>
      <w:lvlJc w:val="left"/>
      <w:pPr>
        <w:ind w:left="6480" w:hanging="360"/>
      </w:pPr>
    </w:lvl>
  </w:abstractNum>
  <w:num w:numId="1" w16cid:durableId="14074164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880"/>
    <w:rsid w:val="001F331E"/>
    <w:rsid w:val="003F0AE2"/>
    <w:rsid w:val="00550B4C"/>
    <w:rsid w:val="0057482F"/>
    <w:rsid w:val="005F2731"/>
    <w:rsid w:val="005F7348"/>
    <w:rsid w:val="006700AF"/>
    <w:rsid w:val="007B6A36"/>
    <w:rsid w:val="0098062D"/>
    <w:rsid w:val="00C2241C"/>
    <w:rsid w:val="00EA6880"/>
    <w:rsid w:val="00F5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F9684"/>
  <w15:docId w15:val="{B1AFDF4D-2262-EB41-9D1C-4AA69BCFF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MY" w:eastAsia="en-GB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5F27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1025</Words>
  <Characters>5844</Characters>
  <Application>Microsoft Office Word</Application>
  <DocSecurity>0</DocSecurity>
  <Lines>48</Lines>
  <Paragraphs>13</Paragraphs>
  <ScaleCrop>false</ScaleCrop>
  <Company/>
  <LinksUpToDate>false</LinksUpToDate>
  <CharactersWithSpaces>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 BIKASH CHAURASIA</cp:lastModifiedBy>
  <cp:revision>12</cp:revision>
  <dcterms:created xsi:type="dcterms:W3CDTF">2026-09-15T19:05:00Z</dcterms:created>
  <dcterms:modified xsi:type="dcterms:W3CDTF">2026-09-15T19:18:00Z</dcterms:modified>
</cp:coreProperties>
</file>