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63C98" w14:textId="14D00942" w:rsidR="001D1BDF" w:rsidRDefault="001D1BDF" w:rsidP="001D1BDF">
      <w:pPr>
        <w:jc w:val="both"/>
        <w:rPr>
          <w:lang w:val="en-GB"/>
        </w:rPr>
      </w:pPr>
      <w:r>
        <w:rPr>
          <w:lang w:val="en-GB"/>
        </w:rPr>
        <w:t>Supplementary Material</w:t>
      </w:r>
    </w:p>
    <w:p w14:paraId="06B35588" w14:textId="3144BA14" w:rsidR="003E5BBB" w:rsidRPr="0066079D" w:rsidRDefault="009E203D" w:rsidP="003E5BBB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3F48748B" wp14:editId="4EA88009">
            <wp:extent cx="5731510" cy="2451735"/>
            <wp:effectExtent l="0" t="0" r="2540" b="5715"/>
            <wp:docPr id="1" name="Elemento gra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5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4F789" w14:textId="7480C5D4" w:rsidR="003E5BBB" w:rsidRDefault="003E5BBB" w:rsidP="003E5BBB">
      <w:pPr>
        <w:pStyle w:val="Didascalia"/>
        <w:jc w:val="both"/>
        <w:rPr>
          <w:lang w:val="en-GB"/>
        </w:rPr>
      </w:pPr>
      <w:r w:rsidRPr="00323D54">
        <w:rPr>
          <w:lang w:val="en-GB"/>
        </w:rPr>
        <w:t xml:space="preserve">Figure </w:t>
      </w:r>
      <w:r>
        <w:rPr>
          <w:lang w:val="en-GB"/>
        </w:rPr>
        <w:t>S</w:t>
      </w:r>
      <w:r>
        <w:fldChar w:fldCharType="begin"/>
      </w:r>
      <w:r w:rsidRPr="00323D54">
        <w:rPr>
          <w:lang w:val="en-GB"/>
        </w:rPr>
        <w:instrText xml:space="preserve"> SEQ Figure \* ARABIC </w:instrText>
      </w:r>
      <w:r>
        <w:fldChar w:fldCharType="separate"/>
      </w:r>
      <w:r>
        <w:rPr>
          <w:noProof/>
          <w:lang w:val="en-GB"/>
        </w:rPr>
        <w:t>1</w:t>
      </w:r>
      <w:r>
        <w:rPr>
          <w:noProof/>
        </w:rPr>
        <w:fldChar w:fldCharType="end"/>
      </w:r>
      <w:r w:rsidRPr="008D7AD5">
        <w:rPr>
          <w:noProof/>
          <w:lang w:val="en-GB"/>
        </w:rPr>
        <w:t xml:space="preserve"> </w:t>
      </w:r>
      <w:r w:rsidRPr="00DB3DBB">
        <w:rPr>
          <w:lang w:val="en-GB"/>
        </w:rPr>
        <w:t>Boxplots</w:t>
      </w:r>
      <w:r>
        <w:rPr>
          <w:lang w:val="en-GB"/>
        </w:rPr>
        <w:t xml:space="preserve"> of</w:t>
      </w:r>
      <w:r w:rsidRPr="00DB3DBB">
        <w:rPr>
          <w:lang w:val="en-GB"/>
        </w:rPr>
        <w:t xml:space="preserve"> </w:t>
      </w:r>
      <w:r>
        <w:rPr>
          <w:lang w:val="en-GB"/>
        </w:rPr>
        <w:t>Shannon</w:t>
      </w:r>
      <w:r w:rsidRPr="00DB3DBB">
        <w:rPr>
          <w:lang w:val="en-GB"/>
        </w:rPr>
        <w:t xml:space="preserve"> (</w:t>
      </w:r>
      <w:r>
        <w:rPr>
          <w:lang w:val="en-GB"/>
        </w:rPr>
        <w:t>a</w:t>
      </w:r>
      <w:r w:rsidRPr="00DB3DBB">
        <w:rPr>
          <w:lang w:val="en-GB"/>
        </w:rPr>
        <w:t>)</w:t>
      </w:r>
      <w:r>
        <w:rPr>
          <w:lang w:val="en-GB"/>
        </w:rPr>
        <w:t xml:space="preserve"> and</w:t>
      </w:r>
      <w:r w:rsidRPr="00DB3DBB">
        <w:rPr>
          <w:lang w:val="en-GB"/>
        </w:rPr>
        <w:t xml:space="preserve"> </w:t>
      </w:r>
      <w:r>
        <w:rPr>
          <w:lang w:val="en-GB"/>
        </w:rPr>
        <w:t>Gini</w:t>
      </w:r>
      <w:r w:rsidRPr="00DB3DBB">
        <w:rPr>
          <w:lang w:val="en-GB"/>
        </w:rPr>
        <w:t xml:space="preserve"> </w:t>
      </w:r>
      <w:r>
        <w:rPr>
          <w:lang w:val="en-GB"/>
        </w:rPr>
        <w:t>(b) diversity indices of cryoconite hole bacterial communities. The thick lines represent the median, boxes upper and lower limits the 25</w:t>
      </w:r>
      <w:r w:rsidRPr="00E51B39">
        <w:rPr>
          <w:vertAlign w:val="superscript"/>
          <w:lang w:val="en-GB"/>
        </w:rPr>
        <w:t>th</w:t>
      </w:r>
      <w:r>
        <w:rPr>
          <w:lang w:val="en-GB"/>
        </w:rPr>
        <w:t xml:space="preserve"> and the 75</w:t>
      </w:r>
      <w:r w:rsidRPr="00E51B39">
        <w:rPr>
          <w:vertAlign w:val="superscript"/>
          <w:lang w:val="en-GB"/>
        </w:rPr>
        <w:t>th</w:t>
      </w:r>
      <w:r>
        <w:rPr>
          <w:lang w:val="en-GB"/>
        </w:rPr>
        <w:t xml:space="preserve"> percentiles respectively, whiskers the data that go beyond the 5</w:t>
      </w:r>
      <w:r w:rsidRPr="00E51B39">
        <w:rPr>
          <w:vertAlign w:val="superscript"/>
          <w:lang w:val="en-GB"/>
        </w:rPr>
        <w:t>th</w:t>
      </w:r>
      <w:r>
        <w:rPr>
          <w:lang w:val="en-GB"/>
        </w:rPr>
        <w:t xml:space="preserve"> and the 75</w:t>
      </w:r>
      <w:r w:rsidRPr="00E51B39">
        <w:rPr>
          <w:vertAlign w:val="superscript"/>
          <w:lang w:val="en-GB"/>
        </w:rPr>
        <w:t>th</w:t>
      </w:r>
      <w:r>
        <w:rPr>
          <w:lang w:val="en-GB"/>
        </w:rPr>
        <w:t xml:space="preserve"> percentile (upper whisker), dots represent the outliers and different letters indicate significant differences at post-hoc tests.</w:t>
      </w:r>
    </w:p>
    <w:p w14:paraId="22B2B03B" w14:textId="475B0E74" w:rsidR="007940AC" w:rsidRPr="00617CA5" w:rsidRDefault="007940AC" w:rsidP="007940AC">
      <w:pPr>
        <w:keepNext/>
        <w:ind w:left="-1134"/>
        <w:jc w:val="both"/>
        <w:rPr>
          <w:lang w:val="en-GB"/>
        </w:rPr>
      </w:pPr>
    </w:p>
    <w:p w14:paraId="3CBC727D" w14:textId="799F4DBE" w:rsidR="0071022C" w:rsidRDefault="0071022C" w:rsidP="007940AC">
      <w:pPr>
        <w:keepNext/>
        <w:ind w:left="-1134"/>
        <w:jc w:val="both"/>
      </w:pPr>
      <w:r>
        <w:rPr>
          <w:noProof/>
        </w:rPr>
        <w:drawing>
          <wp:inline distT="0" distB="0" distL="0" distR="0" wp14:anchorId="6F766C61" wp14:editId="3A15219D">
            <wp:extent cx="6521450" cy="4234680"/>
            <wp:effectExtent l="0" t="0" r="0" b="0"/>
            <wp:docPr id="2" name="Elemento grafic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0422" cy="4240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F9450" w14:textId="2D2CDF88" w:rsidR="007940AC" w:rsidRPr="002E06AF" w:rsidRDefault="007940AC" w:rsidP="007940AC">
      <w:pPr>
        <w:pStyle w:val="Didascalia"/>
        <w:jc w:val="both"/>
        <w:rPr>
          <w:lang w:val="en-GB"/>
        </w:rPr>
      </w:pPr>
      <w:r w:rsidRPr="002E06AF">
        <w:rPr>
          <w:lang w:val="en-GB"/>
        </w:rPr>
        <w:t xml:space="preserve">Figure </w:t>
      </w:r>
      <w:r>
        <w:rPr>
          <w:lang w:val="en-GB"/>
        </w:rPr>
        <w:t>S</w:t>
      </w:r>
      <w:r>
        <w:fldChar w:fldCharType="begin"/>
      </w:r>
      <w:r w:rsidRPr="002E06AF">
        <w:rPr>
          <w:lang w:val="en-GB"/>
        </w:rPr>
        <w:instrText xml:space="preserve"> SEQ Figure \* ARABIC </w:instrText>
      </w:r>
      <w:r>
        <w:fldChar w:fldCharType="separate"/>
      </w:r>
      <w:r>
        <w:rPr>
          <w:noProof/>
          <w:lang w:val="en-GB"/>
        </w:rPr>
        <w:t>2</w:t>
      </w:r>
      <w:r>
        <w:fldChar w:fldCharType="end"/>
      </w:r>
      <w:r w:rsidRPr="002E06AF">
        <w:rPr>
          <w:lang w:val="en-GB"/>
        </w:rPr>
        <w:t xml:space="preserve"> GLM biplots showing t</w:t>
      </w:r>
      <w:r>
        <w:rPr>
          <w:lang w:val="en-GB"/>
        </w:rPr>
        <w:t xml:space="preserve">he trend of </w:t>
      </w:r>
      <w:proofErr w:type="spellStart"/>
      <w:r>
        <w:rPr>
          <w:lang w:val="en-GB"/>
        </w:rPr>
        <w:t>Burkholderiales</w:t>
      </w:r>
      <w:proofErr w:type="spellEnd"/>
      <w:r>
        <w:rPr>
          <w:lang w:val="en-GB"/>
        </w:rPr>
        <w:t xml:space="preserve"> (a), </w:t>
      </w:r>
      <w:proofErr w:type="spellStart"/>
      <w:r>
        <w:rPr>
          <w:lang w:val="en-GB"/>
        </w:rPr>
        <w:t>Rhizobiales</w:t>
      </w:r>
      <w:proofErr w:type="spellEnd"/>
      <w:r>
        <w:rPr>
          <w:lang w:val="en-GB"/>
        </w:rPr>
        <w:t xml:space="preserve"> (b), </w:t>
      </w:r>
      <w:proofErr w:type="spellStart"/>
      <w:r>
        <w:rPr>
          <w:lang w:val="en-GB"/>
        </w:rPr>
        <w:t>Sphingomonadales</w:t>
      </w:r>
      <w:proofErr w:type="spellEnd"/>
      <w:r>
        <w:rPr>
          <w:lang w:val="en-GB"/>
        </w:rPr>
        <w:t xml:space="preserve"> (c) on the East </w:t>
      </w:r>
      <w:proofErr w:type="spellStart"/>
      <w:r>
        <w:rPr>
          <w:lang w:val="en-GB"/>
        </w:rPr>
        <w:t>Iver</w:t>
      </w:r>
      <w:proofErr w:type="spellEnd"/>
      <w:r>
        <w:rPr>
          <w:lang w:val="en-GB"/>
        </w:rPr>
        <w:t xml:space="preserve"> glacier (light blue), </w:t>
      </w:r>
      <w:proofErr w:type="spellStart"/>
      <w:r>
        <w:rPr>
          <w:lang w:val="en-GB"/>
        </w:rPr>
        <w:t>Rhizobiales</w:t>
      </w:r>
      <w:proofErr w:type="spellEnd"/>
      <w:r>
        <w:rPr>
          <w:lang w:val="en-GB"/>
        </w:rPr>
        <w:t xml:space="preserve"> (d) on the </w:t>
      </w:r>
      <w:proofErr w:type="spellStart"/>
      <w:r>
        <w:rPr>
          <w:lang w:val="en-GB"/>
        </w:rPr>
        <w:t>Morado</w:t>
      </w:r>
      <w:proofErr w:type="spellEnd"/>
      <w:r>
        <w:rPr>
          <w:lang w:val="en-GB"/>
        </w:rPr>
        <w:t xml:space="preserve"> glacier (brown), </w:t>
      </w:r>
      <w:proofErr w:type="spellStart"/>
      <w:r>
        <w:rPr>
          <w:lang w:val="en-GB"/>
        </w:rPr>
        <w:t>Burkholderiales</w:t>
      </w:r>
      <w:proofErr w:type="spellEnd"/>
      <w:r>
        <w:rPr>
          <w:lang w:val="en-GB"/>
        </w:rPr>
        <w:t xml:space="preserve"> (e) and </w:t>
      </w:r>
      <w:proofErr w:type="spellStart"/>
      <w:r>
        <w:rPr>
          <w:lang w:val="en-GB"/>
        </w:rPr>
        <w:t>Bacteroidales</w:t>
      </w:r>
      <w:proofErr w:type="spellEnd"/>
      <w:r>
        <w:rPr>
          <w:lang w:val="en-GB"/>
        </w:rPr>
        <w:t xml:space="preserve"> (f) on the </w:t>
      </w:r>
      <w:proofErr w:type="spellStart"/>
      <w:r>
        <w:rPr>
          <w:lang w:val="en-GB"/>
        </w:rPr>
        <w:t>Exploradores</w:t>
      </w:r>
      <w:proofErr w:type="spellEnd"/>
      <w:r>
        <w:rPr>
          <w:lang w:val="en-GB"/>
        </w:rPr>
        <w:t xml:space="preserve"> glacier (pink) according to </w:t>
      </w:r>
      <w:proofErr w:type="spellStart"/>
      <w:r>
        <w:rPr>
          <w:lang w:val="en-GB"/>
        </w:rPr>
        <w:t>pH.</w:t>
      </w:r>
      <w:proofErr w:type="spellEnd"/>
      <w:r>
        <w:rPr>
          <w:lang w:val="en-GB"/>
        </w:rPr>
        <w:t xml:space="preserve"> </w:t>
      </w:r>
    </w:p>
    <w:p w14:paraId="2289827A" w14:textId="0B4642FF" w:rsidR="007940AC" w:rsidRDefault="0071022C" w:rsidP="007940AC">
      <w:pPr>
        <w:keepNext/>
        <w:ind w:left="-1134"/>
        <w:jc w:val="both"/>
      </w:pPr>
      <w:r>
        <w:rPr>
          <w:noProof/>
        </w:rPr>
        <w:lastRenderedPageBreak/>
        <w:drawing>
          <wp:inline distT="0" distB="0" distL="0" distR="0" wp14:anchorId="7FB92CD2" wp14:editId="2184F5B9">
            <wp:extent cx="6845300" cy="4514743"/>
            <wp:effectExtent l="0" t="0" r="0" b="635"/>
            <wp:docPr id="4" name="Elemento grafico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172" cy="4516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F4BC1" w14:textId="0FE169B2" w:rsidR="007940AC" w:rsidRDefault="007940AC" w:rsidP="007940AC">
      <w:pPr>
        <w:pStyle w:val="Didascalia"/>
        <w:jc w:val="both"/>
        <w:rPr>
          <w:lang w:val="en-GB"/>
        </w:rPr>
      </w:pPr>
      <w:r w:rsidRPr="00F63268">
        <w:rPr>
          <w:lang w:val="en-GB"/>
        </w:rPr>
        <w:t xml:space="preserve">Figure </w:t>
      </w:r>
      <w:r>
        <w:rPr>
          <w:lang w:val="en-GB"/>
        </w:rPr>
        <w:t>S</w:t>
      </w:r>
      <w:r>
        <w:fldChar w:fldCharType="begin"/>
      </w:r>
      <w:r w:rsidRPr="00F63268">
        <w:rPr>
          <w:lang w:val="en-GB"/>
        </w:rPr>
        <w:instrText xml:space="preserve"> SEQ Figure \* ARABIC </w:instrText>
      </w:r>
      <w:r>
        <w:fldChar w:fldCharType="separate"/>
      </w:r>
      <w:r>
        <w:rPr>
          <w:noProof/>
          <w:lang w:val="en-GB"/>
        </w:rPr>
        <w:t>3</w:t>
      </w:r>
      <w:r>
        <w:fldChar w:fldCharType="end"/>
      </w:r>
      <w:r w:rsidRPr="00F63268">
        <w:rPr>
          <w:lang w:val="en-GB"/>
        </w:rPr>
        <w:t xml:space="preserve"> </w:t>
      </w:r>
      <w:r w:rsidRPr="002E06AF">
        <w:rPr>
          <w:lang w:val="en-GB"/>
        </w:rPr>
        <w:t>GLM biplots showing t</w:t>
      </w:r>
      <w:r>
        <w:rPr>
          <w:lang w:val="en-GB"/>
        </w:rPr>
        <w:t xml:space="preserve">he trend of </w:t>
      </w:r>
      <w:proofErr w:type="spellStart"/>
      <w:r>
        <w:rPr>
          <w:lang w:val="en-GB"/>
        </w:rPr>
        <w:t>Actinomycetales</w:t>
      </w:r>
      <w:proofErr w:type="spellEnd"/>
      <w:r>
        <w:rPr>
          <w:lang w:val="en-GB"/>
        </w:rPr>
        <w:t xml:space="preserve"> (a), </w:t>
      </w:r>
      <w:proofErr w:type="spellStart"/>
      <w:r>
        <w:rPr>
          <w:lang w:val="en-GB"/>
        </w:rPr>
        <w:t>Rhodospirillales</w:t>
      </w:r>
      <w:proofErr w:type="spellEnd"/>
      <w:r>
        <w:rPr>
          <w:lang w:val="en-GB"/>
        </w:rPr>
        <w:t xml:space="preserve"> (b), </w:t>
      </w:r>
      <w:proofErr w:type="spellStart"/>
      <w:r>
        <w:rPr>
          <w:lang w:val="en-GB"/>
        </w:rPr>
        <w:t>Rhizobiales</w:t>
      </w:r>
      <w:proofErr w:type="spellEnd"/>
      <w:r>
        <w:rPr>
          <w:lang w:val="en-GB"/>
        </w:rPr>
        <w:t xml:space="preserve"> (c) on the </w:t>
      </w:r>
      <w:proofErr w:type="spellStart"/>
      <w:r>
        <w:rPr>
          <w:lang w:val="en-GB"/>
        </w:rPr>
        <w:t>Morado</w:t>
      </w:r>
      <w:proofErr w:type="spellEnd"/>
      <w:r>
        <w:rPr>
          <w:lang w:val="en-GB"/>
        </w:rPr>
        <w:t xml:space="preserve"> glacier (brown), </w:t>
      </w:r>
      <w:proofErr w:type="spellStart"/>
      <w:r>
        <w:rPr>
          <w:lang w:val="en-GB"/>
        </w:rPr>
        <w:t>Cytophagales</w:t>
      </w:r>
      <w:proofErr w:type="spellEnd"/>
      <w:r>
        <w:rPr>
          <w:lang w:val="en-GB"/>
        </w:rPr>
        <w:t xml:space="preserve"> (d) on the </w:t>
      </w:r>
      <w:proofErr w:type="spellStart"/>
      <w:r>
        <w:rPr>
          <w:lang w:val="en-GB"/>
        </w:rPr>
        <w:t>Exploradores</w:t>
      </w:r>
      <w:proofErr w:type="spellEnd"/>
      <w:r>
        <w:rPr>
          <w:lang w:val="en-GB"/>
        </w:rPr>
        <w:t xml:space="preserve"> glacier (pink) and </w:t>
      </w:r>
      <w:proofErr w:type="spellStart"/>
      <w:r>
        <w:rPr>
          <w:lang w:val="en-GB"/>
        </w:rPr>
        <w:t>Actinomycetales</w:t>
      </w:r>
      <w:proofErr w:type="spellEnd"/>
      <w:r>
        <w:rPr>
          <w:lang w:val="en-GB"/>
        </w:rPr>
        <w:t xml:space="preserve"> (e) on the </w:t>
      </w:r>
      <w:proofErr w:type="spellStart"/>
      <w:r>
        <w:rPr>
          <w:lang w:val="en-GB"/>
        </w:rPr>
        <w:t>Perito</w:t>
      </w:r>
      <w:proofErr w:type="spellEnd"/>
      <w:r>
        <w:rPr>
          <w:lang w:val="en-GB"/>
        </w:rPr>
        <w:t xml:space="preserve"> Moreno glacier (black) according to [O</w:t>
      </w:r>
      <w:r>
        <w:rPr>
          <w:vertAlign w:val="subscript"/>
          <w:lang w:val="en-GB"/>
        </w:rPr>
        <w:t>2</w:t>
      </w:r>
      <w:r>
        <w:rPr>
          <w:lang w:val="en-GB"/>
        </w:rPr>
        <w:t>].</w:t>
      </w:r>
    </w:p>
    <w:p w14:paraId="0B3245F6" w14:textId="77777777" w:rsidR="007940AC" w:rsidRDefault="007940AC" w:rsidP="006F6FA4">
      <w:pPr>
        <w:ind w:firstLine="708"/>
        <w:rPr>
          <w:lang w:val="en-GB"/>
        </w:rPr>
      </w:pPr>
    </w:p>
    <w:p w14:paraId="7827A9F9" w14:textId="748F3742" w:rsidR="0086148F" w:rsidRDefault="00723636" w:rsidP="0086148F">
      <w:pPr>
        <w:keepNext/>
      </w:pPr>
      <w:r>
        <w:rPr>
          <w:noProof/>
        </w:rPr>
        <w:drawing>
          <wp:inline distT="0" distB="0" distL="0" distR="0" wp14:anchorId="3547CBB3" wp14:editId="1F7E9985">
            <wp:extent cx="5731510" cy="2919095"/>
            <wp:effectExtent l="0" t="0" r="2540" b="0"/>
            <wp:docPr id="5" name="Elemento grafico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1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50D62" w14:textId="2A8309F8" w:rsidR="003E5BBB" w:rsidRPr="003E5BBB" w:rsidRDefault="0086148F" w:rsidP="00617CA5">
      <w:pPr>
        <w:pStyle w:val="Didascalia"/>
        <w:rPr>
          <w:lang w:val="en-GB"/>
        </w:rPr>
      </w:pPr>
      <w:r w:rsidRPr="00F01076">
        <w:rPr>
          <w:lang w:val="en-GB"/>
        </w:rPr>
        <w:t xml:space="preserve">Figure </w:t>
      </w:r>
      <w:r>
        <w:rPr>
          <w:lang w:val="en-GB"/>
        </w:rPr>
        <w:t>S</w:t>
      </w:r>
      <w:r>
        <w:fldChar w:fldCharType="begin"/>
      </w:r>
      <w:r w:rsidRPr="00F01076">
        <w:rPr>
          <w:lang w:val="en-GB"/>
        </w:rPr>
        <w:instrText xml:space="preserve"> SEQ Figure \* ARABIC </w:instrText>
      </w:r>
      <w:r>
        <w:fldChar w:fldCharType="separate"/>
      </w:r>
      <w:r w:rsidR="007940AC">
        <w:rPr>
          <w:noProof/>
          <w:lang w:val="en-GB"/>
        </w:rPr>
        <w:t>4</w:t>
      </w:r>
      <w:r>
        <w:fldChar w:fldCharType="end"/>
      </w:r>
      <w:r w:rsidRPr="00F01076">
        <w:rPr>
          <w:lang w:val="en-GB"/>
        </w:rPr>
        <w:t xml:space="preserve"> </w:t>
      </w:r>
      <w:r w:rsidRPr="002E06AF">
        <w:rPr>
          <w:lang w:val="en-GB"/>
        </w:rPr>
        <w:t>GL</w:t>
      </w:r>
      <w:r>
        <w:rPr>
          <w:lang w:val="en-GB"/>
        </w:rPr>
        <w:t>S</w:t>
      </w:r>
      <w:r w:rsidRPr="002E06AF">
        <w:rPr>
          <w:lang w:val="en-GB"/>
        </w:rPr>
        <w:t xml:space="preserve"> biplots showing t</w:t>
      </w:r>
      <w:r>
        <w:rPr>
          <w:lang w:val="en-GB"/>
        </w:rPr>
        <w:t xml:space="preserve">he trend of Shannon (a) and Gini (b) indexes on the East </w:t>
      </w:r>
      <w:proofErr w:type="spellStart"/>
      <w:r>
        <w:rPr>
          <w:lang w:val="en-GB"/>
        </w:rPr>
        <w:t>Iver</w:t>
      </w:r>
      <w:proofErr w:type="spellEnd"/>
      <w:r>
        <w:rPr>
          <w:lang w:val="en-GB"/>
        </w:rPr>
        <w:t xml:space="preserve"> according to </w:t>
      </w:r>
      <w:proofErr w:type="spellStart"/>
      <w:r>
        <w:rPr>
          <w:lang w:val="en-GB"/>
        </w:rPr>
        <w:t>pH.</w:t>
      </w:r>
      <w:proofErr w:type="spellEnd"/>
    </w:p>
    <w:sectPr w:rsidR="003E5BBB" w:rsidRPr="003E5B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BDF"/>
    <w:rsid w:val="001D1BDF"/>
    <w:rsid w:val="003E5BBB"/>
    <w:rsid w:val="005D1662"/>
    <w:rsid w:val="005F2F76"/>
    <w:rsid w:val="00617CA5"/>
    <w:rsid w:val="006F6FA4"/>
    <w:rsid w:val="0071022C"/>
    <w:rsid w:val="00723636"/>
    <w:rsid w:val="00774817"/>
    <w:rsid w:val="007940AC"/>
    <w:rsid w:val="0086148F"/>
    <w:rsid w:val="00953693"/>
    <w:rsid w:val="00955E10"/>
    <w:rsid w:val="009E203D"/>
    <w:rsid w:val="00DA29AD"/>
    <w:rsid w:val="00DA5E87"/>
    <w:rsid w:val="00E7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E64C2"/>
  <w15:chartTrackingRefBased/>
  <w15:docId w15:val="{365D7E4C-3478-4F73-AB40-96EAE2D63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1BD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1B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1BDF"/>
    <w:rPr>
      <w:rFonts w:ascii="Segoe UI" w:hAnsi="Segoe UI" w:cs="Segoe UI"/>
      <w:sz w:val="18"/>
      <w:szCs w:val="18"/>
    </w:rPr>
  </w:style>
  <w:style w:type="paragraph" w:styleId="Didascalia">
    <w:name w:val="caption"/>
    <w:basedOn w:val="Normale"/>
    <w:next w:val="Normale"/>
    <w:uiPriority w:val="35"/>
    <w:unhideWhenUsed/>
    <w:qFormat/>
    <w:rsid w:val="001D1BD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95369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5369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5369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5369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5369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svg"/><Relationship Id="rId5" Type="http://schemas.openxmlformats.org/officeDocument/2006/relationships/image" Target="media/image2.sv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sv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Pittino</dc:creator>
  <cp:keywords/>
  <dc:description/>
  <cp:lastModifiedBy>francesca.pittino@unimib.it</cp:lastModifiedBy>
  <cp:revision>5</cp:revision>
  <dcterms:created xsi:type="dcterms:W3CDTF">2021-04-28T07:39:00Z</dcterms:created>
  <dcterms:modified xsi:type="dcterms:W3CDTF">2021-06-04T13:37:00Z</dcterms:modified>
</cp:coreProperties>
</file>