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F2F7B" w:rsidRPr="00117D78" w:rsidRDefault="001F2F7B" w:rsidP="001F2F7B">
      <w:pPr>
        <w:pStyle w:val="Titel"/>
        <w:spacing w:line="480" w:lineRule="auto"/>
        <w:jc w:val="center"/>
        <w:rPr>
          <w:rFonts w:asciiTheme="minorHAnsi" w:hAnsiTheme="minorHAnsi" w:cstheme="minorHAnsi"/>
          <w:b/>
          <w:bCs/>
          <w:sz w:val="28"/>
          <w:szCs w:val="28"/>
        </w:rPr>
      </w:pPr>
      <w:r w:rsidRPr="00117D78">
        <w:rPr>
          <w:rFonts w:asciiTheme="minorHAnsi" w:hAnsiTheme="minorHAnsi" w:cstheme="minorHAnsi"/>
          <w:b/>
          <w:bCs/>
          <w:sz w:val="28"/>
          <w:szCs w:val="28"/>
        </w:rPr>
        <w:t xml:space="preserve">Influence of sub-inhibitory concentrations of antimicrobials on micrococcal nuclease and biofilm formation in </w:t>
      </w:r>
      <w:r w:rsidRPr="00117D78">
        <w:rPr>
          <w:rFonts w:asciiTheme="minorHAnsi" w:hAnsiTheme="minorHAnsi" w:cstheme="minorHAnsi"/>
          <w:b/>
          <w:bCs/>
          <w:i/>
          <w:sz w:val="28"/>
          <w:szCs w:val="28"/>
        </w:rPr>
        <w:t>Staphylococcus aureus</w:t>
      </w:r>
    </w:p>
    <w:p w:rsidR="001F2F7B" w:rsidRPr="00117D78" w:rsidRDefault="001F2F7B" w:rsidP="001F2F7B">
      <w:pPr>
        <w:spacing w:line="480" w:lineRule="auto"/>
        <w:rPr>
          <w:rFonts w:cstheme="minorHAnsi"/>
          <w:sz w:val="24"/>
          <w:szCs w:val="24"/>
        </w:rPr>
      </w:pPr>
    </w:p>
    <w:p w:rsidR="001F2F7B" w:rsidRPr="00117D78" w:rsidRDefault="001F2F7B" w:rsidP="001F2F7B">
      <w:pPr>
        <w:spacing w:line="480" w:lineRule="auto"/>
        <w:rPr>
          <w:rFonts w:cstheme="minorHAnsi"/>
          <w:sz w:val="24"/>
          <w:szCs w:val="24"/>
          <w:lang w:val="nl-NL"/>
        </w:rPr>
      </w:pPr>
      <w:r w:rsidRPr="00117D78">
        <w:rPr>
          <w:rFonts w:cstheme="minorHAnsi"/>
          <w:sz w:val="24"/>
          <w:szCs w:val="24"/>
          <w:lang w:val="nl-NL"/>
        </w:rPr>
        <w:t xml:space="preserve">Colin W.K. </w:t>
      </w:r>
      <w:proofErr w:type="spellStart"/>
      <w:r w:rsidRPr="00117D78">
        <w:rPr>
          <w:rFonts w:cstheme="minorHAnsi"/>
          <w:sz w:val="24"/>
          <w:szCs w:val="24"/>
          <w:lang w:val="nl-NL"/>
        </w:rPr>
        <w:t>Rosman</w:t>
      </w:r>
      <w:proofErr w:type="spellEnd"/>
      <w:r w:rsidRPr="00117D78">
        <w:rPr>
          <w:rFonts w:cstheme="minorHAnsi"/>
          <w:sz w:val="24"/>
          <w:szCs w:val="24"/>
          <w:lang w:val="nl-NL"/>
        </w:rPr>
        <w:t xml:space="preserve">, Henny C. van der Mei, Jelmer </w:t>
      </w:r>
      <w:proofErr w:type="spellStart"/>
      <w:r w:rsidRPr="00117D78">
        <w:rPr>
          <w:rFonts w:cstheme="minorHAnsi"/>
          <w:sz w:val="24"/>
          <w:szCs w:val="24"/>
          <w:lang w:val="nl-NL"/>
        </w:rPr>
        <w:t>Sjollema</w:t>
      </w:r>
      <w:proofErr w:type="spellEnd"/>
    </w:p>
    <w:p w:rsidR="001F2F7B" w:rsidRPr="00117D78" w:rsidRDefault="001F2F7B" w:rsidP="001F2F7B">
      <w:pPr>
        <w:keepNext/>
        <w:spacing w:line="480" w:lineRule="auto"/>
        <w:rPr>
          <w:rFonts w:cstheme="minorHAnsi"/>
          <w:i/>
          <w:iCs/>
          <w:color w:val="44546A"/>
          <w:sz w:val="24"/>
          <w:szCs w:val="24"/>
          <w:lang w:val="en-GB"/>
        </w:rPr>
      </w:pPr>
      <w:r w:rsidRPr="00117D78">
        <w:rPr>
          <w:rFonts w:cstheme="minorHAnsi"/>
          <w:i/>
          <w:iCs/>
          <w:color w:val="44546A"/>
          <w:sz w:val="24"/>
          <w:szCs w:val="24"/>
          <w:lang w:val="en-GB"/>
        </w:rPr>
        <w:t>Supplemental material</w:t>
      </w:r>
    </w:p>
    <w:p w:rsidR="001F2F7B" w:rsidRPr="00117D78" w:rsidRDefault="001F2F7B" w:rsidP="001F2F7B">
      <w:pPr>
        <w:keepNext/>
        <w:spacing w:line="480" w:lineRule="auto"/>
        <w:rPr>
          <w:rFonts w:cstheme="minorHAnsi"/>
          <w:sz w:val="24"/>
          <w:szCs w:val="24"/>
          <w:lang w:val="en-GB"/>
        </w:rPr>
      </w:pPr>
      <w:r w:rsidRPr="00117D78">
        <w:rPr>
          <w:rFonts w:cstheme="minorHAnsi"/>
          <w:i/>
          <w:iCs/>
          <w:color w:val="44546A"/>
          <w:sz w:val="24"/>
          <w:szCs w:val="24"/>
          <w:lang w:val="en-GB"/>
        </w:rPr>
        <w:br w:type="column"/>
      </w:r>
    </w:p>
    <w:p w:rsidR="001F2F7B" w:rsidRPr="00117D78" w:rsidRDefault="001F2F7B" w:rsidP="001F2F7B">
      <w:pPr>
        <w:pStyle w:val="Bijschrift"/>
        <w:spacing w:line="480" w:lineRule="auto"/>
        <w:rPr>
          <w:rFonts w:cstheme="minorHAnsi"/>
          <w:i w:val="0"/>
          <w:color w:val="auto"/>
          <w:sz w:val="24"/>
          <w:szCs w:val="24"/>
          <w:lang w:val="en-GB"/>
        </w:rPr>
      </w:pPr>
      <w:r w:rsidRPr="00117D78">
        <w:rPr>
          <w:rFonts w:cstheme="minorHAnsi"/>
          <w:noProof/>
          <w:sz w:val="24"/>
          <w:szCs w:val="24"/>
          <w:lang w:val="en-GB" w:eastAsia="nl-NL"/>
        </w:rPr>
        <w:drawing>
          <wp:inline distT="0" distB="0" distL="0" distR="0" wp14:anchorId="61C6CCCA" wp14:editId="22AB554D">
            <wp:extent cx="6464300" cy="3606800"/>
            <wp:effectExtent l="0" t="0" r="0" b="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464300" cy="3606800"/>
                    </a:xfrm>
                    <a:prstGeom prst="rect">
                      <a:avLst/>
                    </a:prstGeom>
                    <a:noFill/>
                    <a:ln>
                      <a:noFill/>
                    </a:ln>
                  </pic:spPr>
                </pic:pic>
              </a:graphicData>
            </a:graphic>
          </wp:inline>
        </w:drawing>
      </w:r>
      <w:r w:rsidRPr="00117D78">
        <w:rPr>
          <w:rFonts w:cstheme="minorHAnsi"/>
          <w:i w:val="0"/>
          <w:color w:val="auto"/>
          <w:sz w:val="24"/>
          <w:szCs w:val="24"/>
          <w:lang w:val="en-GB"/>
        </w:rPr>
        <w:t xml:space="preserve"> </w:t>
      </w:r>
    </w:p>
    <w:p w:rsidR="001F2F7B" w:rsidRPr="00117D78" w:rsidRDefault="001F2F7B" w:rsidP="001F2F7B">
      <w:pPr>
        <w:spacing w:line="480" w:lineRule="auto"/>
        <w:rPr>
          <w:rFonts w:cstheme="minorHAnsi"/>
          <w:sz w:val="24"/>
          <w:szCs w:val="24"/>
          <w:lang w:val="en-GB"/>
        </w:rPr>
      </w:pPr>
      <w:r w:rsidRPr="00117D78">
        <w:rPr>
          <w:rFonts w:cstheme="minorHAnsi"/>
          <w:b/>
          <w:bCs/>
          <w:sz w:val="24"/>
          <w:szCs w:val="24"/>
          <w:lang w:val="en-GB"/>
        </w:rPr>
        <w:t>Fig. S1</w:t>
      </w:r>
      <w:r w:rsidRPr="00117D78">
        <w:rPr>
          <w:rFonts w:cstheme="minorHAnsi"/>
          <w:sz w:val="24"/>
          <w:szCs w:val="24"/>
          <w:lang w:val="en-GB"/>
        </w:rPr>
        <w:t xml:space="preserve"> Difference in total biomass and polysaccharide content between</w:t>
      </w:r>
      <w:r w:rsidRPr="00117D78">
        <w:rPr>
          <w:rStyle w:val="Verwijzingopmerking"/>
          <w:rFonts w:cstheme="minorHAnsi"/>
          <w:sz w:val="24"/>
          <w:szCs w:val="24"/>
          <w:lang w:val="en-GB"/>
        </w:rPr>
        <w:t xml:space="preserve"> </w:t>
      </w:r>
      <w:r w:rsidRPr="00117D78">
        <w:rPr>
          <w:rFonts w:cstheme="minorHAnsi"/>
          <w:sz w:val="24"/>
          <w:szCs w:val="24"/>
          <w:lang w:val="en-GB"/>
        </w:rPr>
        <w:t xml:space="preserve">the </w:t>
      </w:r>
      <w:r w:rsidRPr="00117D78">
        <w:rPr>
          <w:rFonts w:cstheme="minorHAnsi"/>
          <w:i/>
          <w:iCs/>
          <w:sz w:val="24"/>
          <w:szCs w:val="24"/>
          <w:lang w:val="en-GB"/>
        </w:rPr>
        <w:t>Staphylococcus aureus</w:t>
      </w:r>
      <w:r w:rsidRPr="00117D78">
        <w:rPr>
          <w:rFonts w:cstheme="minorHAnsi"/>
          <w:sz w:val="24"/>
          <w:szCs w:val="24"/>
          <w:lang w:val="en-GB"/>
        </w:rPr>
        <w:t xml:space="preserve"> Newman Δnuc1 mutant and its parent strain. Units on y-axis are relative differences (in percent) as related to the average difference between both strains grown in absence of antibiotics</w:t>
      </w:r>
      <w:r>
        <w:rPr>
          <w:rFonts w:cstheme="minorHAnsi"/>
          <w:sz w:val="24"/>
          <w:szCs w:val="24"/>
          <w:lang w:val="en-GB"/>
        </w:rPr>
        <w:t xml:space="preserve"> (control)</w:t>
      </w:r>
      <w:r w:rsidRPr="00117D78">
        <w:rPr>
          <w:rFonts w:cstheme="minorHAnsi"/>
          <w:sz w:val="24"/>
          <w:szCs w:val="24"/>
          <w:lang w:val="en-GB"/>
        </w:rPr>
        <w:t xml:space="preserve">. Data shown are 3 averages of triplicate measurements, error bars indicate standard error of the mean. Each </w:t>
      </w:r>
      <w:r>
        <w:rPr>
          <w:rFonts w:cstheme="minorHAnsi"/>
          <w:sz w:val="24"/>
          <w:szCs w:val="24"/>
          <w:lang w:val="en-GB"/>
        </w:rPr>
        <w:t>experiment</w:t>
      </w:r>
      <w:r w:rsidRPr="00117D78">
        <w:rPr>
          <w:rFonts w:cstheme="minorHAnsi"/>
          <w:sz w:val="24"/>
          <w:szCs w:val="24"/>
          <w:lang w:val="en-GB"/>
        </w:rPr>
        <w:t xml:space="preserve"> </w:t>
      </w:r>
      <w:r>
        <w:rPr>
          <w:rFonts w:cstheme="minorHAnsi"/>
          <w:sz w:val="24"/>
          <w:szCs w:val="24"/>
          <w:lang w:val="en-GB"/>
        </w:rPr>
        <w:t>had its own</w:t>
      </w:r>
      <w:r w:rsidRPr="00117D78">
        <w:rPr>
          <w:rFonts w:cstheme="minorHAnsi"/>
          <w:sz w:val="24"/>
          <w:szCs w:val="24"/>
          <w:lang w:val="en-GB"/>
        </w:rPr>
        <w:t xml:space="preserve"> control</w:t>
      </w:r>
      <w:r>
        <w:rPr>
          <w:rFonts w:cstheme="minorHAnsi"/>
          <w:sz w:val="24"/>
          <w:szCs w:val="24"/>
          <w:lang w:val="en-GB"/>
        </w:rPr>
        <w:t xml:space="preserve">. </w:t>
      </w:r>
      <w:r w:rsidRPr="00117D78">
        <w:rPr>
          <w:rFonts w:cstheme="minorHAnsi"/>
          <w:sz w:val="24"/>
          <w:szCs w:val="24"/>
          <w:lang w:val="en-GB"/>
        </w:rPr>
        <w:t>No significant differences were found.</w:t>
      </w:r>
    </w:p>
    <w:p w:rsidR="001F2F7B" w:rsidRPr="00117D78" w:rsidRDefault="001F2F7B" w:rsidP="001F2F7B">
      <w:pPr>
        <w:keepNext/>
        <w:spacing w:line="480" w:lineRule="auto"/>
        <w:rPr>
          <w:rFonts w:cstheme="minorHAnsi"/>
          <w:sz w:val="24"/>
          <w:szCs w:val="24"/>
          <w:lang w:val="en-GB"/>
        </w:rPr>
      </w:pPr>
      <w:r w:rsidRPr="00117D78">
        <w:rPr>
          <w:rFonts w:cstheme="minorHAnsi"/>
          <w:sz w:val="24"/>
          <w:szCs w:val="24"/>
          <w:lang w:val="en-GB"/>
        </w:rPr>
        <w:br w:type="column"/>
      </w:r>
      <w:r w:rsidRPr="00117D78">
        <w:rPr>
          <w:rFonts w:cstheme="minorHAnsi"/>
          <w:noProof/>
          <w:sz w:val="24"/>
          <w:szCs w:val="24"/>
          <w:lang w:val="en-GB" w:eastAsia="nl-NL"/>
        </w:rPr>
        <w:lastRenderedPageBreak/>
        <w:drawing>
          <wp:inline distT="0" distB="0" distL="0" distR="0" wp14:anchorId="21F41E60" wp14:editId="2D3E1394">
            <wp:extent cx="5867400" cy="3797300"/>
            <wp:effectExtent l="0" t="0" r="0" b="0"/>
            <wp:docPr id="4"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67400" cy="3797300"/>
                    </a:xfrm>
                    <a:prstGeom prst="rect">
                      <a:avLst/>
                    </a:prstGeom>
                    <a:noFill/>
                    <a:ln>
                      <a:noFill/>
                    </a:ln>
                  </pic:spPr>
                </pic:pic>
              </a:graphicData>
            </a:graphic>
          </wp:inline>
        </w:drawing>
      </w:r>
    </w:p>
    <w:p w:rsidR="001F2F7B" w:rsidRPr="00117D78" w:rsidRDefault="001F2F7B" w:rsidP="001F2F7B">
      <w:pPr>
        <w:pStyle w:val="Bijschrift"/>
        <w:spacing w:line="480" w:lineRule="auto"/>
        <w:rPr>
          <w:rFonts w:cstheme="minorHAnsi"/>
          <w:i w:val="0"/>
          <w:iCs w:val="0"/>
          <w:sz w:val="24"/>
          <w:szCs w:val="24"/>
          <w:lang w:val="en-GB"/>
        </w:rPr>
      </w:pPr>
      <w:r w:rsidRPr="00117D78">
        <w:rPr>
          <w:rFonts w:cstheme="minorHAnsi"/>
          <w:b/>
          <w:bCs/>
          <w:i w:val="0"/>
          <w:color w:val="auto"/>
          <w:sz w:val="24"/>
          <w:szCs w:val="24"/>
          <w:lang w:val="en-GB"/>
        </w:rPr>
        <w:t>Fig. S2</w:t>
      </w:r>
      <w:r w:rsidRPr="00117D78">
        <w:rPr>
          <w:rFonts w:cstheme="minorHAnsi"/>
          <w:i w:val="0"/>
          <w:color w:val="auto"/>
          <w:sz w:val="24"/>
          <w:szCs w:val="24"/>
          <w:lang w:val="en-GB"/>
        </w:rPr>
        <w:t xml:space="preserve"> Calibration of the nuclease probe with micrococcal nuclease (MN). Graph showing the linear correlation (dotted lines = 95% CI) between fluorescence intensity increase per minute of the nuclease probe versus the quantity of the probe in U/</w:t>
      </w:r>
      <w:proofErr w:type="spellStart"/>
      <w:r w:rsidRPr="00117D78">
        <w:rPr>
          <w:rFonts w:cstheme="minorHAnsi"/>
          <w:i w:val="0"/>
          <w:color w:val="auto"/>
          <w:sz w:val="24"/>
          <w:szCs w:val="24"/>
          <w:lang w:val="en-GB"/>
        </w:rPr>
        <w:t>mL.</w:t>
      </w:r>
      <w:proofErr w:type="spellEnd"/>
      <w:r w:rsidRPr="00117D78">
        <w:rPr>
          <w:rFonts w:cstheme="minorHAnsi"/>
          <w:i w:val="0"/>
          <w:color w:val="auto"/>
          <w:sz w:val="24"/>
          <w:szCs w:val="24"/>
          <w:lang w:val="en-GB"/>
        </w:rPr>
        <w:t xml:space="preserve"> Due to photobleaching of the probe the fluorescence increase without MN is negative. Vertical dotted lines indicate the 5</w:t>
      </w:r>
      <w:r w:rsidRPr="00117D78">
        <w:rPr>
          <w:rFonts w:cstheme="minorHAnsi"/>
          <w:i w:val="0"/>
          <w:color w:val="auto"/>
          <w:sz w:val="24"/>
          <w:szCs w:val="24"/>
          <w:vertAlign w:val="superscript"/>
          <w:lang w:val="en-GB"/>
        </w:rPr>
        <w:t>th</w:t>
      </w:r>
      <w:r w:rsidRPr="00117D78">
        <w:rPr>
          <w:rFonts w:cstheme="minorHAnsi"/>
          <w:i w:val="0"/>
          <w:color w:val="auto"/>
          <w:sz w:val="24"/>
          <w:szCs w:val="24"/>
          <w:lang w:val="en-GB"/>
        </w:rPr>
        <w:t xml:space="preserve"> and 95</w:t>
      </w:r>
      <w:r w:rsidRPr="00117D78">
        <w:rPr>
          <w:rFonts w:cstheme="minorHAnsi"/>
          <w:i w:val="0"/>
          <w:color w:val="auto"/>
          <w:sz w:val="24"/>
          <w:szCs w:val="24"/>
          <w:vertAlign w:val="superscript"/>
          <w:lang w:val="en-GB"/>
        </w:rPr>
        <w:t>th</w:t>
      </w:r>
      <w:r w:rsidRPr="00117D78">
        <w:rPr>
          <w:rFonts w:cstheme="minorHAnsi"/>
          <w:i w:val="0"/>
          <w:color w:val="auto"/>
          <w:sz w:val="24"/>
          <w:szCs w:val="24"/>
          <w:lang w:val="en-GB"/>
        </w:rPr>
        <w:t xml:space="preserve"> percentile of all MN activities measures, excluding cultures with an inhibitory, or higher, concentration of antibiotics.</w:t>
      </w:r>
    </w:p>
    <w:p w:rsidR="001F2F7B" w:rsidRPr="00117D78" w:rsidRDefault="001F2F7B" w:rsidP="001F2F7B">
      <w:pPr>
        <w:spacing w:line="480" w:lineRule="auto"/>
        <w:rPr>
          <w:rFonts w:cstheme="minorHAnsi"/>
          <w:sz w:val="24"/>
          <w:szCs w:val="24"/>
          <w:lang w:val="en-GB"/>
        </w:rPr>
      </w:pPr>
      <w:r w:rsidRPr="00117D78">
        <w:rPr>
          <w:lang w:val="en-GB"/>
        </w:rPr>
        <w:br w:type="page"/>
      </w:r>
    </w:p>
    <w:p w:rsidR="001F2F7B" w:rsidRPr="00117D78" w:rsidRDefault="001F2F7B" w:rsidP="001F2F7B">
      <w:pPr>
        <w:pStyle w:val="Bijschrift"/>
        <w:spacing w:line="480" w:lineRule="auto"/>
        <w:rPr>
          <w:rFonts w:cstheme="minorHAnsi"/>
          <w:sz w:val="24"/>
          <w:szCs w:val="24"/>
          <w:lang w:val="en-GB"/>
        </w:rPr>
      </w:pPr>
      <w:r w:rsidRPr="00117D78">
        <w:rPr>
          <w:rFonts w:cstheme="minorHAnsi"/>
          <w:noProof/>
          <w:sz w:val="24"/>
          <w:szCs w:val="24"/>
          <w:lang w:val="en-GB" w:eastAsia="nl-NL"/>
        </w:rPr>
        <w:lastRenderedPageBreak/>
        <w:drawing>
          <wp:inline distT="0" distB="0" distL="0" distR="0" wp14:anchorId="4181F247" wp14:editId="31385BA5">
            <wp:extent cx="5029200" cy="3949700"/>
            <wp:effectExtent l="0" t="0" r="0" b="12700"/>
            <wp:docPr id="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29200" cy="3949700"/>
                    </a:xfrm>
                    <a:prstGeom prst="rect">
                      <a:avLst/>
                    </a:prstGeom>
                    <a:noFill/>
                    <a:ln>
                      <a:noFill/>
                    </a:ln>
                  </pic:spPr>
                </pic:pic>
              </a:graphicData>
            </a:graphic>
          </wp:inline>
        </w:drawing>
      </w:r>
    </w:p>
    <w:p w:rsidR="001F2F7B" w:rsidRPr="00F26B7F" w:rsidRDefault="001F2F7B" w:rsidP="001F2F7B">
      <w:pPr>
        <w:pStyle w:val="Bijschrift"/>
        <w:spacing w:line="480" w:lineRule="auto"/>
        <w:rPr>
          <w:rFonts w:cstheme="minorHAnsi"/>
          <w:i w:val="0"/>
          <w:iCs w:val="0"/>
          <w:sz w:val="24"/>
          <w:szCs w:val="24"/>
          <w:lang w:val="en-GB"/>
        </w:rPr>
      </w:pPr>
      <w:r w:rsidRPr="00117D78">
        <w:rPr>
          <w:rFonts w:cstheme="minorHAnsi"/>
          <w:b/>
          <w:bCs/>
          <w:i w:val="0"/>
          <w:color w:val="auto"/>
          <w:sz w:val="24"/>
          <w:szCs w:val="24"/>
          <w:lang w:val="en-GB"/>
        </w:rPr>
        <w:t>Fig. S3</w:t>
      </w:r>
      <w:r w:rsidRPr="00117D78">
        <w:rPr>
          <w:rFonts w:cstheme="minorHAnsi"/>
          <w:i w:val="0"/>
          <w:color w:val="auto"/>
          <w:sz w:val="24"/>
          <w:szCs w:val="24"/>
          <w:lang w:val="en-GB"/>
        </w:rPr>
        <w:t xml:space="preserve"> Quantile-Quantile (QQ) plots of micrococcal nuclease per colony forming unit of both planktonic and biofilm mode of growth, and biofilm parameters biomass and polysaccharides (summarized as extracellular polymeric substance (EPS)) for both </w:t>
      </w:r>
      <w:r w:rsidRPr="00117D78">
        <w:rPr>
          <w:rFonts w:cstheme="minorHAnsi"/>
          <w:color w:val="auto"/>
          <w:sz w:val="24"/>
          <w:szCs w:val="24"/>
          <w:lang w:val="en-GB"/>
        </w:rPr>
        <w:t xml:space="preserve">Staphylococcus aureus </w:t>
      </w:r>
      <w:r w:rsidRPr="00117D78">
        <w:rPr>
          <w:rFonts w:cstheme="minorHAnsi"/>
          <w:i w:val="0"/>
          <w:color w:val="auto"/>
          <w:sz w:val="24"/>
          <w:szCs w:val="24"/>
          <w:lang w:val="en-GB"/>
        </w:rPr>
        <w:t>ATCC12600 and Newman lux. Data on the horizontal axes are quantiles of actual distributions (or from distributions of log-value data), data on the y-axis represent quantiles on a theoretical normal distribution (or log-normal distribution). The graph shows that the distribution of data can be described by a log-normal distribution (both Figures on the right side of the panel) rather than by a normal distribution (Left part of the panel). Fractions in the legend refer to fraction of inhibitory concentration.</w:t>
      </w:r>
      <w:r w:rsidRPr="00F26B7F" w:rsidDel="00D10917">
        <w:rPr>
          <w:rFonts w:cstheme="minorHAnsi"/>
          <w:i w:val="0"/>
          <w:color w:val="auto"/>
          <w:sz w:val="24"/>
          <w:szCs w:val="24"/>
          <w:lang w:val="en-GB"/>
        </w:rPr>
        <w:t xml:space="preserve"> </w:t>
      </w:r>
      <w:r w:rsidRPr="00F26B7F">
        <w:rPr>
          <w:rFonts w:cstheme="minorHAnsi"/>
          <w:sz w:val="24"/>
          <w:szCs w:val="24"/>
          <w:lang w:val="en-GB"/>
        </w:rPr>
        <w:br w:type="page"/>
      </w:r>
    </w:p>
    <w:p w:rsidR="00172796" w:rsidRPr="001F2F7B" w:rsidRDefault="00172796">
      <w:pPr>
        <w:rPr>
          <w:lang w:val="en-GB"/>
        </w:rPr>
      </w:pPr>
    </w:p>
    <w:sectPr w:rsidR="00172796" w:rsidRPr="001F2F7B" w:rsidSect="001F2F7B">
      <w:pgSz w:w="11906" w:h="16838"/>
      <w:pgMar w:top="1417" w:right="141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F7B"/>
    <w:rsid w:val="000A5971"/>
    <w:rsid w:val="000B3C52"/>
    <w:rsid w:val="001077E2"/>
    <w:rsid w:val="0012071B"/>
    <w:rsid w:val="00172796"/>
    <w:rsid w:val="001A7A7D"/>
    <w:rsid w:val="001F2F7B"/>
    <w:rsid w:val="0021776B"/>
    <w:rsid w:val="002261CB"/>
    <w:rsid w:val="00245F9F"/>
    <w:rsid w:val="00256B84"/>
    <w:rsid w:val="002849DC"/>
    <w:rsid w:val="002E06B6"/>
    <w:rsid w:val="00306782"/>
    <w:rsid w:val="003A0DE1"/>
    <w:rsid w:val="004028AD"/>
    <w:rsid w:val="00467459"/>
    <w:rsid w:val="005268F8"/>
    <w:rsid w:val="00717065"/>
    <w:rsid w:val="00742BB4"/>
    <w:rsid w:val="007A584A"/>
    <w:rsid w:val="00812F83"/>
    <w:rsid w:val="008900C3"/>
    <w:rsid w:val="008D4342"/>
    <w:rsid w:val="009633B0"/>
    <w:rsid w:val="009B3906"/>
    <w:rsid w:val="009C4465"/>
    <w:rsid w:val="00AA4B37"/>
    <w:rsid w:val="00B97A43"/>
    <w:rsid w:val="00BA1EB2"/>
    <w:rsid w:val="00BA3287"/>
    <w:rsid w:val="00C51BAF"/>
    <w:rsid w:val="00C57FBD"/>
    <w:rsid w:val="00CB37AE"/>
    <w:rsid w:val="00D87BA8"/>
    <w:rsid w:val="00DA522A"/>
    <w:rsid w:val="00E97BA6"/>
    <w:rsid w:val="00F06D31"/>
    <w:rsid w:val="00F30B62"/>
    <w:rsid w:val="00F646C5"/>
    <w:rsid w:val="00FF60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3139F5D6-56E8-0C44-A6AE-20972AC6F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F2F7B"/>
    <w:pPr>
      <w:spacing w:after="160" w:line="259" w:lineRule="auto"/>
    </w:pPr>
    <w:rPr>
      <w:sz w:val="22"/>
      <w:szCs w:val="22"/>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1F2F7B"/>
    <w:rPr>
      <w:sz w:val="16"/>
      <w:szCs w:val="16"/>
    </w:rPr>
  </w:style>
  <w:style w:type="paragraph" w:styleId="Bijschrift">
    <w:name w:val="caption"/>
    <w:basedOn w:val="Standaard"/>
    <w:next w:val="Standaard"/>
    <w:uiPriority w:val="35"/>
    <w:unhideWhenUsed/>
    <w:qFormat/>
    <w:rsid w:val="001F2F7B"/>
    <w:pPr>
      <w:spacing w:after="200" w:line="240" w:lineRule="auto"/>
    </w:pPr>
    <w:rPr>
      <w:i/>
      <w:iCs/>
      <w:color w:val="44546A" w:themeColor="text2"/>
      <w:sz w:val="18"/>
      <w:szCs w:val="18"/>
    </w:rPr>
  </w:style>
  <w:style w:type="paragraph" w:styleId="Titel">
    <w:name w:val="Title"/>
    <w:basedOn w:val="Standaard"/>
    <w:next w:val="Standaard"/>
    <w:link w:val="TitelChar"/>
    <w:uiPriority w:val="10"/>
    <w:qFormat/>
    <w:rsid w:val="001F2F7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F2F7B"/>
    <w:rPr>
      <w:rFonts w:asciiTheme="majorHAnsi" w:eastAsiaTheme="majorEastAsia" w:hAnsiTheme="majorHAnsi" w:cstheme="majorBidi"/>
      <w:spacing w:val="-10"/>
      <w:kern w:val="28"/>
      <w:sz w:val="56"/>
      <w:szCs w:val="5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emf"/><Relationship Id="rId4" Type="http://schemas.openxmlformats.org/officeDocument/2006/relationships/image" Target="media/image1.em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305</Words>
  <Characters>1683</Characters>
  <Application>Microsoft Office Word</Application>
  <DocSecurity>0</DocSecurity>
  <Lines>14</Lines>
  <Paragraphs>3</Paragraphs>
  <ScaleCrop>false</ScaleCrop>
  <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jelmer sjollema</dc:creator>
  <cp:keywords/>
  <dc:description/>
  <cp:lastModifiedBy>jelmer sjollema</cp:lastModifiedBy>
  <cp:revision>1</cp:revision>
  <dcterms:created xsi:type="dcterms:W3CDTF">2020-11-25T16:20:00Z</dcterms:created>
  <dcterms:modified xsi:type="dcterms:W3CDTF">2020-11-25T16:21:00Z</dcterms:modified>
</cp:coreProperties>
</file>